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DF592F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E7D7F">
        <w:rPr>
          <w:rFonts w:cstheme="minorHAnsi"/>
        </w:rPr>
        <w:t>3</w:t>
      </w:r>
      <w:r w:rsidR="00867D33">
        <w:rPr>
          <w:rFonts w:cstheme="minorHAnsi"/>
        </w:rPr>
        <w:t>0</w:t>
      </w:r>
      <w:bookmarkStart w:id="0" w:name="_GoBack"/>
      <w:bookmarkEnd w:id="0"/>
      <w:r w:rsidR="00986649" w:rsidRPr="0021055B">
        <w:rPr>
          <w:rFonts w:cstheme="minorHAnsi"/>
        </w:rPr>
        <w:t>.</w:t>
      </w:r>
      <w:r w:rsidR="00B66803">
        <w:rPr>
          <w:rFonts w:cstheme="minorHAnsi"/>
        </w:rPr>
        <w:t>1</w:t>
      </w:r>
      <w:r w:rsidR="003C6D80">
        <w:rPr>
          <w:rFonts w:cstheme="minorHAnsi"/>
        </w:rPr>
        <w:t>2</w:t>
      </w:r>
      <w:r w:rsidR="00986649" w:rsidRPr="0021055B">
        <w:rPr>
          <w:rFonts w:cstheme="minorHAnsi"/>
        </w:rPr>
        <w:t>.202</w:t>
      </w:r>
      <w:r w:rsidR="007D03D6">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1D5B787"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255357">
        <w:t>6</w:t>
      </w:r>
      <w:r w:rsidRPr="00CA6E86">
        <w:t xml:space="preserve"> объект</w:t>
      </w:r>
      <w:r w:rsidR="00341C34">
        <w:t>ов</w:t>
      </w:r>
      <w:r w:rsidRPr="00CA6E86">
        <w:t>.</w:t>
      </w:r>
      <w:r w:rsidR="00AF0868" w:rsidRPr="00CA6E86">
        <w:t xml:space="preserve"> </w:t>
      </w:r>
    </w:p>
    <w:p w14:paraId="749CF609" w14:textId="7797A04A"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341C34">
        <w:rPr>
          <w:rFonts w:cstheme="minorHAnsi"/>
        </w:rPr>
        <w:t>5</w:t>
      </w:r>
      <w:r w:rsidR="00C75DF9" w:rsidRPr="00CA6E86">
        <w:rPr>
          <w:rFonts w:cstheme="minorHAnsi"/>
        </w:rPr>
        <w:t xml:space="preserve"> </w:t>
      </w:r>
      <w:r w:rsidRPr="00CA6E86">
        <w:rPr>
          <w:rFonts w:cstheme="minorHAnsi"/>
        </w:rPr>
        <w:t>объект</w:t>
      </w:r>
      <w:r w:rsidR="00341C34">
        <w:rPr>
          <w:rFonts w:cstheme="minorHAnsi"/>
        </w:rPr>
        <w:t>ов</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3C6D80" w:rsidRPr="00CA6E86" w14:paraId="1BCC78FC" w14:textId="77777777" w:rsidTr="003C6D80">
        <w:tc>
          <w:tcPr>
            <w:tcW w:w="6516" w:type="dxa"/>
          </w:tcPr>
          <w:p w14:paraId="1BBE983E" w14:textId="3125EF7B" w:rsidR="003C6D80" w:rsidRPr="00CA6E86" w:rsidRDefault="003C6D80" w:rsidP="003C6D80">
            <w:pPr>
              <w:rPr>
                <w:rFonts w:cstheme="minorHAnsi"/>
              </w:rPr>
            </w:pPr>
            <w:r w:rsidRPr="00CA6E86">
              <w:rPr>
                <w:rFonts w:cstheme="minorHAnsi"/>
              </w:rPr>
              <w:t>Помещение, кадастровый номер 77:09:0003023:8089, по адресу: г. Москва, ул. Тимирязевская, д. 2/3</w:t>
            </w:r>
          </w:p>
        </w:tc>
        <w:tc>
          <w:tcPr>
            <w:tcW w:w="2829" w:type="dxa"/>
            <w:vAlign w:val="center"/>
          </w:tcPr>
          <w:p w14:paraId="79E3309A" w14:textId="70403179" w:rsidR="003C6D80" w:rsidRPr="00CA6E86" w:rsidRDefault="003C6D80" w:rsidP="003C6D80">
            <w:pPr>
              <w:spacing w:line="276" w:lineRule="auto"/>
              <w:jc w:val="center"/>
              <w:rPr>
                <w:rFonts w:cstheme="minorHAnsi"/>
                <w:lang w:val="en-US"/>
              </w:rPr>
            </w:pPr>
            <w:r>
              <w:rPr>
                <w:rFonts w:ascii="Calibri" w:hAnsi="Calibri" w:cs="Calibri"/>
                <w:color w:val="000000"/>
              </w:rPr>
              <w:t>79,07</w:t>
            </w:r>
          </w:p>
        </w:tc>
      </w:tr>
      <w:tr w:rsidR="003C6D80" w:rsidRPr="00CA6E86" w14:paraId="2C4EF1DD" w14:textId="77777777" w:rsidTr="003C6D80">
        <w:tc>
          <w:tcPr>
            <w:tcW w:w="6516" w:type="dxa"/>
          </w:tcPr>
          <w:p w14:paraId="4E5C7ABE" w14:textId="4E742A64" w:rsidR="003C6D80" w:rsidRPr="00CA6E86" w:rsidRDefault="003C6D80" w:rsidP="003C6D80">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по адресу: г. Москва, ул. Тимирязевская, д. 2/3</w:t>
            </w:r>
          </w:p>
        </w:tc>
        <w:tc>
          <w:tcPr>
            <w:tcW w:w="2829" w:type="dxa"/>
            <w:vAlign w:val="center"/>
          </w:tcPr>
          <w:p w14:paraId="6E32C225" w14:textId="69B6E21F" w:rsidR="003C6D80" w:rsidRPr="00CA6E86" w:rsidRDefault="003C6D80" w:rsidP="003C6D80">
            <w:pPr>
              <w:spacing w:line="276" w:lineRule="auto"/>
              <w:jc w:val="center"/>
              <w:rPr>
                <w:rFonts w:cstheme="minorHAnsi"/>
              </w:rPr>
            </w:pPr>
            <w:r>
              <w:rPr>
                <w:rFonts w:ascii="Calibri" w:hAnsi="Calibri" w:cs="Calibri"/>
                <w:color w:val="000000"/>
              </w:rPr>
              <w:t>10,32</w:t>
            </w:r>
          </w:p>
        </w:tc>
      </w:tr>
      <w:tr w:rsidR="003C6D80" w:rsidRPr="00CA6E86" w14:paraId="7AE4462A" w14:textId="77777777" w:rsidTr="003C6D80">
        <w:tc>
          <w:tcPr>
            <w:tcW w:w="6516" w:type="dxa"/>
          </w:tcPr>
          <w:p w14:paraId="726B731D" w14:textId="35D79519" w:rsidR="003C6D80" w:rsidRPr="00CA6E86" w:rsidRDefault="003C6D80" w:rsidP="003C6D80">
            <w:pPr>
              <w:rPr>
                <w:rFonts w:cstheme="minorHAnsi"/>
              </w:rPr>
            </w:pPr>
            <w:r>
              <w:rPr>
                <w:rFonts w:cstheme="minorHAnsi"/>
              </w:rPr>
              <w:t xml:space="preserve">Права аренды земельного участка, кадастровый номер </w:t>
            </w:r>
            <w:r w:rsidRPr="00255357">
              <w:rPr>
                <w:rFonts w:cstheme="minorHAnsi"/>
              </w:rPr>
              <w:t>77:09:0003023:8</w:t>
            </w:r>
            <w:r>
              <w:rPr>
                <w:rFonts w:cstheme="minorHAnsi"/>
              </w:rPr>
              <w:t xml:space="preserve">, по адресу: </w:t>
            </w:r>
            <w:r w:rsidRPr="00255357">
              <w:rPr>
                <w:rFonts w:cstheme="minorHAnsi"/>
              </w:rPr>
              <w:t xml:space="preserve">г. Москва, ул.Тимирязевская, вл. 2, </w:t>
            </w:r>
            <w:r w:rsidRPr="00255357">
              <w:rPr>
                <w:rFonts w:cstheme="minorHAnsi"/>
              </w:rPr>
              <w:lastRenderedPageBreak/>
              <w:t>Российская Федерация, внутригородская территория муниципальный округ</w:t>
            </w:r>
          </w:p>
        </w:tc>
        <w:tc>
          <w:tcPr>
            <w:tcW w:w="2829" w:type="dxa"/>
            <w:vAlign w:val="center"/>
          </w:tcPr>
          <w:p w14:paraId="1F2C206A" w14:textId="14D57315" w:rsidR="003C6D80" w:rsidRPr="00CA6E86" w:rsidRDefault="003C6D80" w:rsidP="003C6D80">
            <w:pPr>
              <w:jc w:val="center"/>
              <w:rPr>
                <w:rFonts w:cstheme="minorHAnsi"/>
              </w:rPr>
            </w:pPr>
            <w:r>
              <w:rPr>
                <w:rFonts w:cstheme="minorHAnsi"/>
              </w:rPr>
              <w:lastRenderedPageBreak/>
              <w:t>6,73</w:t>
            </w:r>
          </w:p>
        </w:tc>
      </w:tr>
      <w:tr w:rsidR="003C6D80" w:rsidRPr="00CA6E86" w14:paraId="7A293A76" w14:textId="77777777" w:rsidTr="003C6D80">
        <w:tc>
          <w:tcPr>
            <w:tcW w:w="6516" w:type="dxa"/>
          </w:tcPr>
          <w:p w14:paraId="25AA7D83" w14:textId="74CCF36C" w:rsidR="003C6D80" w:rsidRPr="00CA6E86" w:rsidRDefault="003C6D80" w:rsidP="003C6D80">
            <w:pPr>
              <w:rPr>
                <w:rFonts w:cstheme="minorHAnsi"/>
              </w:rPr>
            </w:pPr>
            <w:r w:rsidRPr="00CA6E86">
              <w:rPr>
                <w:rFonts w:cstheme="minorHAnsi"/>
              </w:rPr>
              <w:t>Депозит АО «АЛЬФА-БАНК»</w:t>
            </w:r>
          </w:p>
        </w:tc>
        <w:tc>
          <w:tcPr>
            <w:tcW w:w="2829" w:type="dxa"/>
            <w:vAlign w:val="center"/>
          </w:tcPr>
          <w:p w14:paraId="189DD60C" w14:textId="45557C0A" w:rsidR="003C6D80" w:rsidRPr="00CA6E86" w:rsidRDefault="003C6D80" w:rsidP="003C6D80">
            <w:pPr>
              <w:jc w:val="center"/>
              <w:rPr>
                <w:rFonts w:cstheme="minorHAnsi"/>
              </w:rPr>
            </w:pPr>
            <w:r>
              <w:rPr>
                <w:rFonts w:ascii="Calibri" w:hAnsi="Calibri" w:cs="Calibri"/>
                <w:color w:val="000000"/>
              </w:rPr>
              <w:t>2,02</w:t>
            </w:r>
          </w:p>
        </w:tc>
      </w:tr>
      <w:tr w:rsidR="003C6D80" w:rsidRPr="00CA6E86" w14:paraId="537E51DE" w14:textId="77777777" w:rsidTr="003C6D80">
        <w:tc>
          <w:tcPr>
            <w:tcW w:w="6516" w:type="dxa"/>
          </w:tcPr>
          <w:p w14:paraId="06DC9295" w14:textId="578F5B21" w:rsidR="003C6D80" w:rsidRPr="00CA6E86" w:rsidRDefault="003C6D80" w:rsidP="003C6D80">
            <w:pPr>
              <w:rPr>
                <w:rFonts w:cstheme="minorHAnsi"/>
              </w:rPr>
            </w:pPr>
            <w:r>
              <w:rPr>
                <w:rFonts w:cstheme="minorHAnsi"/>
              </w:rPr>
              <w:t>Денежные средства на расчетных счетах</w:t>
            </w:r>
          </w:p>
        </w:tc>
        <w:tc>
          <w:tcPr>
            <w:tcW w:w="2829" w:type="dxa"/>
            <w:vAlign w:val="center"/>
          </w:tcPr>
          <w:p w14:paraId="56F015BA" w14:textId="58FB6012" w:rsidR="003C6D80" w:rsidRDefault="003C6D80" w:rsidP="003C6D80">
            <w:pPr>
              <w:jc w:val="center"/>
              <w:rPr>
                <w:rFonts w:cstheme="minorHAnsi"/>
              </w:rPr>
            </w:pPr>
            <w:r>
              <w:rPr>
                <w:rFonts w:ascii="Calibri" w:hAnsi="Calibri" w:cs="Calibri"/>
                <w:color w:val="000000"/>
              </w:rPr>
              <w:t>1,03</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3C6D80">
        <w:tblPrEx>
          <w:tblCellMar>
            <w:left w:w="108" w:type="dxa"/>
            <w:right w:w="108" w:type="dxa"/>
          </w:tblCellMar>
        </w:tblPrEx>
        <w:trPr>
          <w:trHeight w:val="1074"/>
        </w:trPr>
        <w:tc>
          <w:tcPr>
            <w:tcW w:w="4365" w:type="dxa"/>
            <w:vMerge w:val="restart"/>
            <w:vAlign w:val="center"/>
          </w:tcPr>
          <w:p w14:paraId="66CBF915" w14:textId="0106A267" w:rsidR="00D016A6" w:rsidRPr="003B455E" w:rsidRDefault="003C6D80" w:rsidP="00526694">
            <w:pPr>
              <w:pStyle w:val="ConsPlusNormal"/>
              <w:jc w:val="center"/>
              <w:rPr>
                <w:rFonts w:asciiTheme="minorHAnsi" w:hAnsiTheme="minorHAnsi" w:cstheme="minorHAnsi"/>
              </w:rPr>
            </w:pPr>
            <w:r>
              <w:rPr>
                <w:noProof/>
              </w:rPr>
              <w:drawing>
                <wp:inline distT="0" distB="0" distL="0" distR="0" wp14:anchorId="76910249" wp14:editId="7DE547E1">
                  <wp:extent cx="2634615" cy="24860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13989C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900474" w:rsidRPr="00C50091" w14:paraId="163F6D42" w14:textId="77777777" w:rsidTr="000A21E1">
        <w:tc>
          <w:tcPr>
            <w:tcW w:w="4365" w:type="dxa"/>
            <w:vMerge/>
          </w:tcPr>
          <w:p w14:paraId="439EA073" w14:textId="77777777" w:rsidR="00900474" w:rsidRPr="003B455E" w:rsidRDefault="00900474" w:rsidP="00900474">
            <w:pPr>
              <w:rPr>
                <w:rFonts w:cstheme="minorHAnsi"/>
              </w:rPr>
            </w:pPr>
          </w:p>
        </w:tc>
        <w:tc>
          <w:tcPr>
            <w:tcW w:w="1380" w:type="dxa"/>
            <w:vAlign w:val="bottom"/>
          </w:tcPr>
          <w:p w14:paraId="377E34DE"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1DB11636" w:rsidR="00900474" w:rsidRPr="00B82A27" w:rsidRDefault="00900474" w:rsidP="00900474">
            <w:pPr>
              <w:pStyle w:val="ConsPlusNormal"/>
              <w:rPr>
                <w:rFonts w:asciiTheme="minorHAnsi" w:hAnsiTheme="minorHAnsi" w:cstheme="minorHAnsi"/>
              </w:rPr>
            </w:pPr>
            <w:r>
              <w:rPr>
                <w:color w:val="000000"/>
                <w:szCs w:val="22"/>
              </w:rPr>
              <w:t>1,51%</w:t>
            </w:r>
          </w:p>
        </w:tc>
        <w:tc>
          <w:tcPr>
            <w:tcW w:w="1563" w:type="dxa"/>
            <w:vAlign w:val="bottom"/>
          </w:tcPr>
          <w:p w14:paraId="5DA42905" w14:textId="07AAE635" w:rsidR="00900474" w:rsidRPr="003C6D80" w:rsidRDefault="00900474" w:rsidP="00900474">
            <w:pPr>
              <w:pStyle w:val="ConsPlusNormal"/>
              <w:rPr>
                <w:rFonts w:asciiTheme="minorHAnsi" w:hAnsiTheme="minorHAnsi" w:cstheme="minorHAnsi"/>
                <w:highlight w:val="yellow"/>
              </w:rPr>
            </w:pPr>
            <w:r>
              <w:rPr>
                <w:color w:val="000000"/>
                <w:szCs w:val="22"/>
              </w:rPr>
              <w:t>0,73%</w:t>
            </w:r>
          </w:p>
        </w:tc>
      </w:tr>
      <w:tr w:rsidR="00900474" w:rsidRPr="00C50091" w14:paraId="734DB2DE" w14:textId="77777777" w:rsidTr="000A21E1">
        <w:tc>
          <w:tcPr>
            <w:tcW w:w="4365" w:type="dxa"/>
            <w:vMerge/>
          </w:tcPr>
          <w:p w14:paraId="1A4F3314" w14:textId="77777777" w:rsidR="00900474" w:rsidRPr="003B455E" w:rsidRDefault="00900474" w:rsidP="00900474">
            <w:pPr>
              <w:rPr>
                <w:rFonts w:cstheme="minorHAnsi"/>
              </w:rPr>
            </w:pPr>
          </w:p>
        </w:tc>
        <w:tc>
          <w:tcPr>
            <w:tcW w:w="1380" w:type="dxa"/>
            <w:vAlign w:val="bottom"/>
          </w:tcPr>
          <w:p w14:paraId="6B673F49"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7F75AA79" w:rsidR="00900474" w:rsidRPr="00E25458" w:rsidRDefault="00900474" w:rsidP="00900474">
            <w:pPr>
              <w:pStyle w:val="ConsPlusNormal"/>
              <w:rPr>
                <w:rFonts w:asciiTheme="minorHAnsi" w:hAnsiTheme="minorHAnsi" w:cstheme="minorHAnsi"/>
              </w:rPr>
            </w:pPr>
            <w:r>
              <w:rPr>
                <w:color w:val="000000"/>
                <w:szCs w:val="22"/>
              </w:rPr>
              <w:t>9,35%</w:t>
            </w:r>
          </w:p>
        </w:tc>
        <w:tc>
          <w:tcPr>
            <w:tcW w:w="1563" w:type="dxa"/>
            <w:vAlign w:val="bottom"/>
          </w:tcPr>
          <w:p w14:paraId="0A9EC4F7" w14:textId="4BB2707A" w:rsidR="00900474" w:rsidRPr="003C6D80" w:rsidRDefault="00900474" w:rsidP="00900474">
            <w:pPr>
              <w:pStyle w:val="ConsPlusNormal"/>
              <w:rPr>
                <w:rFonts w:asciiTheme="minorHAnsi" w:hAnsiTheme="minorHAnsi" w:cstheme="minorHAnsi"/>
                <w:highlight w:val="yellow"/>
              </w:rPr>
            </w:pPr>
            <w:r>
              <w:rPr>
                <w:color w:val="000000"/>
                <w:szCs w:val="22"/>
              </w:rPr>
              <w:t>8,02%</w:t>
            </w:r>
          </w:p>
        </w:tc>
      </w:tr>
      <w:tr w:rsidR="00900474" w:rsidRPr="00C50091" w14:paraId="2D189623" w14:textId="77777777" w:rsidTr="000A21E1">
        <w:tc>
          <w:tcPr>
            <w:tcW w:w="4365" w:type="dxa"/>
            <w:vMerge/>
          </w:tcPr>
          <w:p w14:paraId="06D3E770" w14:textId="77777777" w:rsidR="00900474" w:rsidRPr="003B455E" w:rsidRDefault="00900474" w:rsidP="00900474">
            <w:pPr>
              <w:rPr>
                <w:rFonts w:cstheme="minorHAnsi"/>
              </w:rPr>
            </w:pPr>
          </w:p>
        </w:tc>
        <w:tc>
          <w:tcPr>
            <w:tcW w:w="1380" w:type="dxa"/>
            <w:vAlign w:val="bottom"/>
          </w:tcPr>
          <w:p w14:paraId="0A625FAD"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5BC8D0D9" w:rsidR="00900474" w:rsidRPr="00B82A27" w:rsidRDefault="00900474" w:rsidP="00900474">
            <w:pPr>
              <w:pStyle w:val="ConsPlusNormal"/>
              <w:rPr>
                <w:rFonts w:asciiTheme="minorHAnsi" w:hAnsiTheme="minorHAnsi" w:cstheme="minorHAnsi"/>
              </w:rPr>
            </w:pPr>
            <w:r>
              <w:rPr>
                <w:color w:val="000000"/>
                <w:szCs w:val="22"/>
              </w:rPr>
              <w:t>9,64%</w:t>
            </w:r>
          </w:p>
        </w:tc>
        <w:tc>
          <w:tcPr>
            <w:tcW w:w="1563" w:type="dxa"/>
            <w:vAlign w:val="bottom"/>
          </w:tcPr>
          <w:p w14:paraId="5A1631C8" w14:textId="522F49EF" w:rsidR="00900474" w:rsidRPr="003C6D80" w:rsidRDefault="00900474" w:rsidP="00900474">
            <w:pPr>
              <w:pStyle w:val="ConsPlusNormal"/>
              <w:rPr>
                <w:rFonts w:asciiTheme="minorHAnsi" w:hAnsiTheme="minorHAnsi" w:cstheme="minorHAnsi"/>
                <w:highlight w:val="yellow"/>
              </w:rPr>
            </w:pPr>
            <w:r>
              <w:rPr>
                <w:color w:val="000000"/>
                <w:szCs w:val="22"/>
              </w:rPr>
              <w:t>9,17%</w:t>
            </w:r>
          </w:p>
        </w:tc>
      </w:tr>
      <w:tr w:rsidR="00900474" w:rsidRPr="00C50091" w14:paraId="00022598" w14:textId="77777777" w:rsidTr="000A21E1">
        <w:tc>
          <w:tcPr>
            <w:tcW w:w="4365" w:type="dxa"/>
            <w:vMerge/>
          </w:tcPr>
          <w:p w14:paraId="23447C1B" w14:textId="77777777" w:rsidR="00900474" w:rsidRPr="003B455E" w:rsidRDefault="00900474" w:rsidP="00900474">
            <w:pPr>
              <w:rPr>
                <w:rFonts w:cstheme="minorHAnsi"/>
              </w:rPr>
            </w:pPr>
          </w:p>
        </w:tc>
        <w:tc>
          <w:tcPr>
            <w:tcW w:w="1380" w:type="dxa"/>
            <w:vAlign w:val="bottom"/>
          </w:tcPr>
          <w:p w14:paraId="1559E4EA"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3AB1188F" w:rsidR="00900474" w:rsidRPr="00B82A27" w:rsidRDefault="00900474" w:rsidP="00900474">
            <w:pPr>
              <w:pStyle w:val="ConsPlusNormal"/>
              <w:rPr>
                <w:rFonts w:asciiTheme="minorHAnsi" w:hAnsiTheme="minorHAnsi" w:cstheme="minorHAnsi"/>
              </w:rPr>
            </w:pPr>
            <w:r>
              <w:rPr>
                <w:color w:val="000000"/>
                <w:szCs w:val="22"/>
              </w:rPr>
              <w:t>19,66%</w:t>
            </w:r>
          </w:p>
        </w:tc>
        <w:tc>
          <w:tcPr>
            <w:tcW w:w="1563" w:type="dxa"/>
            <w:vAlign w:val="bottom"/>
          </w:tcPr>
          <w:p w14:paraId="4EF284CC" w14:textId="1D2C31E3" w:rsidR="00900474" w:rsidRPr="003C6D80" w:rsidRDefault="00900474" w:rsidP="00900474">
            <w:pPr>
              <w:pStyle w:val="ConsPlusNormal"/>
              <w:rPr>
                <w:rFonts w:asciiTheme="minorHAnsi" w:hAnsiTheme="minorHAnsi" w:cstheme="minorHAnsi"/>
                <w:highlight w:val="yellow"/>
              </w:rPr>
            </w:pPr>
            <w:r>
              <w:rPr>
                <w:color w:val="000000"/>
                <w:szCs w:val="22"/>
              </w:rPr>
              <w:t>7,72%</w:t>
            </w:r>
          </w:p>
        </w:tc>
      </w:tr>
      <w:tr w:rsidR="00900474" w:rsidRPr="00C50091" w14:paraId="61586E32" w14:textId="77777777" w:rsidTr="008D1FDD">
        <w:tc>
          <w:tcPr>
            <w:tcW w:w="4365" w:type="dxa"/>
            <w:vMerge/>
          </w:tcPr>
          <w:p w14:paraId="6D68E732" w14:textId="77777777" w:rsidR="00900474" w:rsidRPr="003B455E" w:rsidRDefault="00900474" w:rsidP="00900474">
            <w:pPr>
              <w:rPr>
                <w:rFonts w:cstheme="minorHAnsi"/>
              </w:rPr>
            </w:pPr>
          </w:p>
        </w:tc>
        <w:tc>
          <w:tcPr>
            <w:tcW w:w="1380" w:type="dxa"/>
            <w:vAlign w:val="bottom"/>
          </w:tcPr>
          <w:p w14:paraId="6C7A6518"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493496D2" w:rsidR="00900474" w:rsidRPr="003B455E" w:rsidRDefault="00900474" w:rsidP="00900474">
            <w:pPr>
              <w:pStyle w:val="ConsPlusNormal"/>
              <w:rPr>
                <w:rFonts w:asciiTheme="minorHAnsi" w:hAnsiTheme="minorHAnsi" w:cstheme="minorHAnsi"/>
              </w:rPr>
            </w:pPr>
            <w:r>
              <w:rPr>
                <w:color w:val="000000"/>
                <w:szCs w:val="22"/>
              </w:rPr>
              <w:t>51,17%</w:t>
            </w:r>
          </w:p>
        </w:tc>
        <w:tc>
          <w:tcPr>
            <w:tcW w:w="1563" w:type="dxa"/>
            <w:vAlign w:val="bottom"/>
          </w:tcPr>
          <w:p w14:paraId="4946C1EE" w14:textId="047A3D77" w:rsidR="00900474" w:rsidRPr="003C6D80" w:rsidRDefault="00900474" w:rsidP="00900474">
            <w:pPr>
              <w:pStyle w:val="ConsPlusNormal"/>
              <w:rPr>
                <w:rFonts w:asciiTheme="minorHAnsi" w:hAnsiTheme="minorHAnsi" w:cstheme="minorHAnsi"/>
                <w:highlight w:val="yellow"/>
              </w:rPr>
            </w:pPr>
            <w:r>
              <w:rPr>
                <w:color w:val="000000"/>
                <w:szCs w:val="22"/>
              </w:rPr>
              <w:t>25,93%</w:t>
            </w:r>
          </w:p>
        </w:tc>
      </w:tr>
      <w:tr w:rsidR="00900474" w:rsidRPr="00C50091" w14:paraId="23E49679" w14:textId="77777777" w:rsidTr="004056BF">
        <w:tc>
          <w:tcPr>
            <w:tcW w:w="4365" w:type="dxa"/>
            <w:vMerge/>
          </w:tcPr>
          <w:p w14:paraId="18885D97" w14:textId="77777777" w:rsidR="00900474" w:rsidRPr="003B455E" w:rsidRDefault="00900474" w:rsidP="00900474">
            <w:pPr>
              <w:pStyle w:val="ConsPlusNormal"/>
              <w:rPr>
                <w:rFonts w:asciiTheme="minorHAnsi" w:hAnsiTheme="minorHAnsi" w:cstheme="minorHAnsi"/>
              </w:rPr>
            </w:pPr>
          </w:p>
        </w:tc>
        <w:tc>
          <w:tcPr>
            <w:tcW w:w="1380" w:type="dxa"/>
            <w:vAlign w:val="bottom"/>
          </w:tcPr>
          <w:p w14:paraId="427B3323" w14:textId="77777777" w:rsidR="00900474" w:rsidRPr="003B455E" w:rsidRDefault="00900474" w:rsidP="0090047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vAlign w:val="bottom"/>
          </w:tcPr>
          <w:p w14:paraId="0B6591EC" w14:textId="50760108" w:rsidR="00900474" w:rsidRPr="003B455E" w:rsidRDefault="00900474" w:rsidP="00900474">
            <w:pPr>
              <w:pStyle w:val="ConsPlusNormal"/>
              <w:rPr>
                <w:rFonts w:asciiTheme="minorHAnsi" w:hAnsiTheme="minorHAnsi" w:cstheme="minorHAnsi"/>
              </w:rPr>
            </w:pPr>
            <w:r>
              <w:rPr>
                <w:rFonts w:asciiTheme="minorHAnsi" w:hAnsiTheme="minorHAnsi" w:cstheme="minorHAnsi"/>
              </w:rPr>
              <w:t>-</w:t>
            </w:r>
          </w:p>
        </w:tc>
        <w:tc>
          <w:tcPr>
            <w:tcW w:w="1563" w:type="dxa"/>
            <w:vAlign w:val="bottom"/>
          </w:tcPr>
          <w:p w14:paraId="529BB3CB" w14:textId="584454CC" w:rsidR="00900474" w:rsidRPr="003C6D80" w:rsidRDefault="00900474" w:rsidP="00900474">
            <w:pPr>
              <w:pStyle w:val="ConsPlusNormal"/>
              <w:rPr>
                <w:rFonts w:asciiTheme="minorHAnsi" w:hAnsiTheme="minorHAnsi" w:cstheme="minorHAnsi"/>
                <w:highlight w:val="yellow"/>
              </w:rPr>
            </w:pPr>
            <w:r>
              <w:rPr>
                <w:color w:val="000000"/>
                <w:szCs w:val="22"/>
              </w:rPr>
              <w:t>-</w:t>
            </w:r>
          </w:p>
        </w:tc>
      </w:tr>
    </w:tbl>
    <w:p w14:paraId="136D627F" w14:textId="77777777" w:rsidR="004F6824" w:rsidRPr="00C50091" w:rsidRDefault="004F6824" w:rsidP="00B74D3D">
      <w:pPr>
        <w:pStyle w:val="a3"/>
        <w:spacing w:line="276" w:lineRule="auto"/>
        <w:rPr>
          <w:rFonts w:cstheme="minorHAnsi"/>
        </w:rPr>
      </w:pPr>
    </w:p>
    <w:p w14:paraId="66686100" w14:textId="465A5146" w:rsidR="007A0DCF" w:rsidRPr="00C50091" w:rsidRDefault="007E4067" w:rsidP="0002266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C6D80">
        <w:rPr>
          <w:rFonts w:cstheme="minorHAnsi"/>
        </w:rPr>
        <w:t>298 611</w:t>
      </w:r>
      <w:r w:rsidR="0002266E" w:rsidRPr="0002266E">
        <w:rPr>
          <w:rFonts w:cstheme="minorHAnsi"/>
        </w:rPr>
        <w:t>,</w:t>
      </w:r>
      <w:r w:rsidR="003C6D80">
        <w:rPr>
          <w:rFonts w:cstheme="minorHAnsi"/>
        </w:rPr>
        <w:t>74</w:t>
      </w:r>
      <w:r w:rsidR="007D03D6" w:rsidRPr="007D03D6">
        <w:rPr>
          <w:rFonts w:cstheme="minorHAnsi"/>
        </w:rPr>
        <w:t> </w:t>
      </w:r>
      <w:r w:rsidRPr="00C50091">
        <w:rPr>
          <w:rFonts w:cstheme="minorHAnsi"/>
        </w:rPr>
        <w:t>рублей.</w:t>
      </w:r>
    </w:p>
    <w:p w14:paraId="2FE68D87" w14:textId="78ECEFC4" w:rsidR="007A0DCF" w:rsidRPr="00C50091" w:rsidRDefault="007A0DCF" w:rsidP="0002266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2266E" w:rsidRPr="0002266E">
        <w:rPr>
          <w:rFonts w:cstheme="minorHAnsi"/>
        </w:rPr>
        <w:t>38</w:t>
      </w:r>
      <w:r w:rsidR="003C6D80">
        <w:rPr>
          <w:rFonts w:cstheme="minorHAnsi"/>
        </w:rPr>
        <w:t>8</w:t>
      </w:r>
      <w:r w:rsidR="0002266E">
        <w:rPr>
          <w:rFonts w:cstheme="minorHAnsi"/>
        </w:rPr>
        <w:t xml:space="preserve"> </w:t>
      </w:r>
      <w:r w:rsidR="003C6D80">
        <w:rPr>
          <w:rFonts w:cstheme="minorHAnsi"/>
        </w:rPr>
        <w:t>195</w:t>
      </w:r>
      <w:r w:rsidR="0002266E">
        <w:rPr>
          <w:rFonts w:cstheme="minorHAnsi"/>
        </w:rPr>
        <w:t xml:space="preserve"> </w:t>
      </w:r>
      <w:r w:rsidR="003C6D80">
        <w:rPr>
          <w:rFonts w:cstheme="minorHAnsi"/>
        </w:rPr>
        <w:t>258</w:t>
      </w:r>
      <w:r w:rsidR="0002266E" w:rsidRPr="0002266E">
        <w:rPr>
          <w:rFonts w:cstheme="minorHAnsi"/>
        </w:rPr>
        <w:t>,</w:t>
      </w:r>
      <w:r w:rsidR="003C6D80">
        <w:rPr>
          <w:rFonts w:cstheme="minorHAnsi"/>
        </w:rPr>
        <w:t>65</w:t>
      </w:r>
      <w:r w:rsidR="0002266E">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8"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9"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6437F2">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6437F2">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4C9F" w14:textId="77777777" w:rsidR="00FE4606" w:rsidRDefault="00FE4606" w:rsidP="000F4BEA">
      <w:pPr>
        <w:spacing w:after="0" w:line="240" w:lineRule="auto"/>
      </w:pPr>
      <w:r>
        <w:separator/>
      </w:r>
    </w:p>
  </w:endnote>
  <w:endnote w:type="continuationSeparator" w:id="0">
    <w:p w14:paraId="1BF9DDC3" w14:textId="77777777" w:rsidR="00FE4606" w:rsidRDefault="00FE4606" w:rsidP="000F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49B8D" w14:textId="77777777" w:rsidR="00FE4606" w:rsidRDefault="00FE4606" w:rsidP="000F4BEA">
      <w:pPr>
        <w:spacing w:after="0" w:line="240" w:lineRule="auto"/>
      </w:pPr>
      <w:r>
        <w:separator/>
      </w:r>
    </w:p>
  </w:footnote>
  <w:footnote w:type="continuationSeparator" w:id="0">
    <w:p w14:paraId="55388320" w14:textId="77777777" w:rsidR="00FE4606" w:rsidRDefault="00FE4606" w:rsidP="000F4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266E"/>
    <w:rsid w:val="00082A82"/>
    <w:rsid w:val="00093EAA"/>
    <w:rsid w:val="000C2A9D"/>
    <w:rsid w:val="000F4BEA"/>
    <w:rsid w:val="00102B2B"/>
    <w:rsid w:val="001743E3"/>
    <w:rsid w:val="001858EA"/>
    <w:rsid w:val="001A002A"/>
    <w:rsid w:val="001F3FB3"/>
    <w:rsid w:val="0021055B"/>
    <w:rsid w:val="00220281"/>
    <w:rsid w:val="00220CAA"/>
    <w:rsid w:val="00246951"/>
    <w:rsid w:val="00255357"/>
    <w:rsid w:val="00267762"/>
    <w:rsid w:val="002E02FF"/>
    <w:rsid w:val="00301C5E"/>
    <w:rsid w:val="0032043C"/>
    <w:rsid w:val="00341C34"/>
    <w:rsid w:val="00374E3A"/>
    <w:rsid w:val="00375B78"/>
    <w:rsid w:val="00381948"/>
    <w:rsid w:val="003B455E"/>
    <w:rsid w:val="003C6D80"/>
    <w:rsid w:val="003F6D2F"/>
    <w:rsid w:val="00405CC4"/>
    <w:rsid w:val="00476B37"/>
    <w:rsid w:val="004A73BC"/>
    <w:rsid w:val="004C5035"/>
    <w:rsid w:val="004D02F5"/>
    <w:rsid w:val="004F6824"/>
    <w:rsid w:val="005907D9"/>
    <w:rsid w:val="005953EA"/>
    <w:rsid w:val="005E2EAC"/>
    <w:rsid w:val="005E7D7F"/>
    <w:rsid w:val="00607050"/>
    <w:rsid w:val="006437F2"/>
    <w:rsid w:val="006961D3"/>
    <w:rsid w:val="00701135"/>
    <w:rsid w:val="007A0DCF"/>
    <w:rsid w:val="007D03D6"/>
    <w:rsid w:val="007D699A"/>
    <w:rsid w:val="007E1692"/>
    <w:rsid w:val="007E4067"/>
    <w:rsid w:val="00813496"/>
    <w:rsid w:val="00867D33"/>
    <w:rsid w:val="00876ABD"/>
    <w:rsid w:val="00900474"/>
    <w:rsid w:val="00912E77"/>
    <w:rsid w:val="009762AB"/>
    <w:rsid w:val="00986649"/>
    <w:rsid w:val="0099110E"/>
    <w:rsid w:val="009D20F1"/>
    <w:rsid w:val="009D5F29"/>
    <w:rsid w:val="009F0A7D"/>
    <w:rsid w:val="009F19FF"/>
    <w:rsid w:val="00A34267"/>
    <w:rsid w:val="00AA1555"/>
    <w:rsid w:val="00AA2F5E"/>
    <w:rsid w:val="00AD1FBA"/>
    <w:rsid w:val="00AD2AFD"/>
    <w:rsid w:val="00AF0868"/>
    <w:rsid w:val="00B54044"/>
    <w:rsid w:val="00B66803"/>
    <w:rsid w:val="00B74D3D"/>
    <w:rsid w:val="00B82A27"/>
    <w:rsid w:val="00B83893"/>
    <w:rsid w:val="00B92F50"/>
    <w:rsid w:val="00C45B63"/>
    <w:rsid w:val="00C50091"/>
    <w:rsid w:val="00C75DF9"/>
    <w:rsid w:val="00CA6E86"/>
    <w:rsid w:val="00CE2784"/>
    <w:rsid w:val="00CE6E7B"/>
    <w:rsid w:val="00D016A6"/>
    <w:rsid w:val="00D25F70"/>
    <w:rsid w:val="00DA0098"/>
    <w:rsid w:val="00DD5572"/>
    <w:rsid w:val="00DD770B"/>
    <w:rsid w:val="00DE3775"/>
    <w:rsid w:val="00E25458"/>
    <w:rsid w:val="00E365EB"/>
    <w:rsid w:val="00E4575A"/>
    <w:rsid w:val="00E66B06"/>
    <w:rsid w:val="00EA2870"/>
    <w:rsid w:val="00F571C3"/>
    <w:rsid w:val="00F8635C"/>
    <w:rsid w:val="00F90093"/>
    <w:rsid w:val="00F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0F4BE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4BEA"/>
  </w:style>
  <w:style w:type="paragraph" w:styleId="af0">
    <w:name w:val="footer"/>
    <w:basedOn w:val="a"/>
    <w:link w:val="af1"/>
    <w:uiPriority w:val="99"/>
    <w:unhideWhenUsed/>
    <w:rsid w:val="000F4BE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87707368">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webSettings" Target="webSettings.xml"/><Relationship Id="rId9" Type="http://schemas.openxmlformats.org/officeDocument/2006/relationships/hyperlink" Target="http://www.alfacapital.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C42-40E3-811E-BCC1FF3635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0.1966098943655113</c:v>
                </c:pt>
                <c:pt idx="1">
                  <c:v>0.16890840446139113</c:v>
                </c:pt>
                <c:pt idx="2">
                  <c:v>0.14426951152695972</c:v>
                </c:pt>
                <c:pt idx="3">
                  <c:v>9.8576825862809719E-2</c:v>
                </c:pt>
                <c:pt idx="4">
                  <c:v>0</c:v>
                </c:pt>
              </c:numCache>
            </c:numRef>
          </c:val>
          <c:extLst>
            <c:ext xmlns:c16="http://schemas.microsoft.com/office/drawing/2014/chart" uri="{C3380CC4-5D6E-409C-BE32-E72D297353CC}">
              <c16:uniqueId val="{00000001-7C42-40E3-811E-BCC1FF363504}"/>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15</cp:revision>
  <cp:lastPrinted>2021-09-07T11:44:00Z</cp:lastPrinted>
  <dcterms:created xsi:type="dcterms:W3CDTF">2022-06-09T08:52:00Z</dcterms:created>
  <dcterms:modified xsi:type="dcterms:W3CDTF">2023-01-16T13:49:00Z</dcterms:modified>
</cp:coreProperties>
</file>