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87720C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bookmarkStart w:id="0" w:name="_GoBack"/>
            <w:bookmarkEnd w:id="0"/>
            <w:r w:rsidRPr="00DA4D8C">
              <w:t>КЛЮЧЕВОЙ ИНФОРМАЦИОННЫЙ ДОКУМЕНТ</w:t>
            </w:r>
          </w:p>
        </w:tc>
      </w:tr>
      <w:tr w:rsidR="00912219" w:rsidTr="0087720C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534326">
              <w:rPr>
                <w:b/>
              </w:rPr>
              <w:t>31.01.2025</w:t>
            </w:r>
          </w:p>
          <w:p w:rsidR="00912219" w:rsidRPr="009C4836" w:rsidRDefault="001A7B28" w:rsidP="00615639">
            <w:pPr>
              <w:pStyle w:val="13"/>
            </w:pPr>
            <w:r w:rsidRPr="001A7B28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</w:t>
            </w:r>
            <w:r w:rsidR="00912219" w:rsidRPr="009C4836">
              <w:t>.</w:t>
            </w:r>
          </w:p>
          <w:p w:rsidR="004070AC" w:rsidRPr="004070AC" w:rsidRDefault="003604DA" w:rsidP="00DE611E">
            <w:pPr>
              <w:pStyle w:val="13"/>
            </w:pPr>
            <w:r>
              <w:t>Закрытый</w:t>
            </w:r>
            <w:r w:rsidRPr="009C4836">
              <w:t xml:space="preserve"> </w:t>
            </w:r>
            <w:r w:rsidR="00912219" w:rsidRPr="009C4836">
              <w:t>паевой инвестиционный фонд рыночных финансовых инструментов</w:t>
            </w:r>
            <w:r w:rsidR="00615639" w:rsidRPr="009C4836">
              <w:t xml:space="preserve"> </w:t>
            </w:r>
            <w:r w:rsidR="00802D4A">
              <w:rPr>
                <w:b/>
              </w:rPr>
              <w:t xml:space="preserve">«Альфа-Капитал </w:t>
            </w:r>
            <w:r w:rsidR="00DE611E">
              <w:rPr>
                <w:b/>
              </w:rPr>
              <w:t>Медицина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87720C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RPr="0087720C" w:rsidTr="0087720C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87720C" w:rsidRDefault="0087720C" w:rsidP="0087720C">
                  <w:pPr>
                    <w:pStyle w:val="1"/>
                    <w:spacing w:before="0"/>
                    <w:ind w:left="357" w:hanging="357"/>
                    <w:rPr>
                      <w:sz w:val="20"/>
                      <w:szCs w:val="20"/>
                    </w:rPr>
                  </w:pPr>
                  <w:r w:rsidRPr="0087720C">
                    <w:rPr>
                      <w:sz w:val="20"/>
                      <w:szCs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RPr="0087720C" w:rsidTr="0087720C">
              <w:tc>
                <w:tcPr>
                  <w:tcW w:w="2500" w:type="pct"/>
                  <w:tcMar>
                    <w:bottom w:w="0" w:type="dxa"/>
                  </w:tcMar>
                </w:tcPr>
                <w:p w:rsidR="00227D45" w:rsidRPr="00227D45" w:rsidRDefault="00227D45" w:rsidP="00227D45">
                  <w:pPr>
                    <w:pStyle w:val="1"/>
                    <w:spacing w:before="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87720C" w:rsidRDefault="00227D45" w:rsidP="00227D45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60"/>
                    <w:rPr>
                      <w:sz w:val="20"/>
                      <w:szCs w:val="20"/>
                    </w:rPr>
                  </w:pPr>
                  <w:r w:rsidRPr="00227D45">
                    <w:rPr>
                      <w:sz w:val="20"/>
                      <w:szCs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</w:t>
                  </w:r>
                  <w:r w:rsidR="00802D4A" w:rsidRPr="0087720C"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87720C" w:rsidRDefault="0087720C" w:rsidP="00EB0EA2">
                  <w:pPr>
                    <w:pStyle w:val="1"/>
                    <w:spacing w:before="0"/>
                    <w:ind w:left="357" w:hanging="357"/>
                  </w:pPr>
                  <w:r w:rsidRPr="00DE611E">
                    <w:rPr>
                      <w:sz w:val="20"/>
                      <w:szCs w:val="20"/>
                    </w:rPr>
                    <w:t xml:space="preserve">Перед приобретением инвестиционных паев паевого инвестиционного фонда </w:t>
                  </w:r>
                  <w:r w:rsidRPr="00EB0EA2">
                    <w:rPr>
                      <w:sz w:val="20"/>
                      <w:szCs w:val="20"/>
                    </w:rPr>
                    <w:t xml:space="preserve">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www.alfacapital.ru/disclosure/pifs_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closed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/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  <w:lang w:val="en-US"/>
                      </w:rPr>
                      <w:t>z</w:t>
                    </w:r>
                    <w:r w:rsidR="00EB0EA2" w:rsidRPr="00EB0EA2">
                      <w:rPr>
                        <w:rStyle w:val="a4"/>
                        <w:sz w:val="20"/>
                        <w:szCs w:val="20"/>
                      </w:rPr>
                      <w:t>pif-medicine/pif-rules</w:t>
                    </w:r>
                  </w:hyperlink>
                  <w:r w:rsidR="00802D4A" w:rsidRPr="00EB0EA2">
                    <w:rPr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87720C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227D45" w:rsidRDefault="00227D45" w:rsidP="00227D45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227D45" w:rsidRDefault="00227D45" w:rsidP="00227D45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политики.</w:t>
            </w:r>
          </w:p>
          <w:p w:rsidR="00DE611E" w:rsidRDefault="0099763A" w:rsidP="00227D45">
            <w:pPr>
              <w:pStyle w:val="1"/>
              <w:numPr>
                <w:ilvl w:val="0"/>
                <w:numId w:val="14"/>
              </w:numPr>
            </w:pPr>
            <w:r>
              <w:t>Активное</w:t>
            </w:r>
            <w:r w:rsidR="00DE611E">
              <w:t xml:space="preserve"> управление.</w:t>
            </w:r>
          </w:p>
          <w:p w:rsidR="00802D4A" w:rsidRPr="007B6AB8" w:rsidRDefault="00DE611E" w:rsidP="00DE611E">
            <w:pPr>
              <w:pStyle w:val="1"/>
            </w:pPr>
            <w:r>
              <w:t>Активы паевого инвести</w:t>
            </w:r>
            <w:r w:rsidR="000A3EF1">
              <w:t xml:space="preserve">ционного фонда инвестированы в </w:t>
            </w:r>
            <w:r w:rsidR="00816C91">
              <w:t>6 объектов</w:t>
            </w:r>
            <w:r>
              <w:t>.</w:t>
            </w:r>
          </w:p>
          <w:p w:rsidR="00E7508F" w:rsidRPr="00C745A2" w:rsidRDefault="00787466" w:rsidP="00C745A2">
            <w:pPr>
              <w:spacing w:before="360" w:after="240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6145"/>
              <w:gridCol w:w="1799"/>
              <w:gridCol w:w="2254"/>
            </w:tblGrid>
            <w:tr w:rsidR="00615639" w:rsidRPr="00BC0CE6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hideMark/>
                </w:tcPr>
                <w:p w:rsidR="00615639" w:rsidRPr="00BC0CE6" w:rsidRDefault="00615639" w:rsidP="001D2E61">
                  <w:pPr>
                    <w:rPr>
                      <w:rFonts w:eastAsia="Times New Roman" w:cs="Arial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882" w:type="pct"/>
                  <w:hideMark/>
                </w:tcPr>
                <w:p w:rsidR="00615639" w:rsidRPr="00BC0CE6" w:rsidRDefault="00615639" w:rsidP="00802D4A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05" w:type="pct"/>
                  <w:hideMark/>
                </w:tcPr>
                <w:p w:rsidR="00615639" w:rsidRPr="007B6AB8" w:rsidRDefault="00615639" w:rsidP="00227D45">
                  <w:pPr>
                    <w:jc w:val="center"/>
                    <w:rPr>
                      <w:rFonts w:eastAsia="Times New Roman" w:cs="Arial"/>
                      <w:b w:val="0"/>
                      <w:bCs/>
                      <w:szCs w:val="20"/>
                      <w:lang w:val="en-US" w:eastAsia="ru-RU"/>
                    </w:rPr>
                  </w:pPr>
                  <w:r w:rsidRPr="00BC0CE6">
                    <w:rPr>
                      <w:rFonts w:eastAsia="Times New Roman" w:cs="Arial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175AC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5ACD" w:rsidRPr="00175ACD" w:rsidRDefault="00175ACD" w:rsidP="00175A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75AC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The Health Care Select Sector SPDR Fund</w:t>
                  </w:r>
                </w:p>
              </w:tc>
              <w:tc>
                <w:tcPr>
                  <w:tcW w:w="882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US81369Y2090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34,354</w:t>
                  </w:r>
                </w:p>
              </w:tc>
            </w:tr>
            <w:tr w:rsidR="00175AC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75ACD" w:rsidRPr="00175ACD" w:rsidRDefault="00175ACD" w:rsidP="00175A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75AC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Biotech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US78464A8707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30,695</w:t>
                  </w:r>
                </w:p>
              </w:tc>
            </w:tr>
            <w:tr w:rsidR="00175ACD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175ACD" w:rsidRPr="00175ACD" w:rsidRDefault="00175ACD" w:rsidP="00175ACD">
                  <w:pPr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</w:pPr>
                  <w:r w:rsidRPr="00175ACD">
                    <w:rPr>
                      <w:rFonts w:ascii="Montserrat" w:hAnsi="Montserrat" w:cs="Calibri"/>
                      <w:color w:val="000000"/>
                      <w:szCs w:val="16"/>
                      <w:lang w:val="en-US"/>
                    </w:rPr>
                    <w:t>SPDR S&amp;P Pharmaceuticals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US78464A7220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29,659</w:t>
                  </w:r>
                </w:p>
              </w:tc>
            </w:tr>
            <w:tr w:rsidR="00175ACD" w:rsidRPr="00BC0CE6" w:rsidTr="00DE611E">
              <w:trPr>
                <w:trHeight w:val="460"/>
              </w:trPr>
              <w:tc>
                <w:tcPr>
                  <w:tcW w:w="3013" w:type="pct"/>
                  <w:vAlign w:val="center"/>
                </w:tcPr>
                <w:p w:rsidR="00175ACD" w:rsidRDefault="00175ACD" w:rsidP="00175ACD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ARK Genomic Revolution ETF</w:t>
                  </w:r>
                </w:p>
              </w:tc>
              <w:tc>
                <w:tcPr>
                  <w:tcW w:w="882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US00214Q3020</w:t>
                  </w:r>
                </w:p>
              </w:tc>
              <w:tc>
                <w:tcPr>
                  <w:tcW w:w="1105" w:type="pct"/>
                  <w:vAlign w:val="center"/>
                </w:tcPr>
                <w:p w:rsidR="00175ACD" w:rsidRDefault="00175ACD" w:rsidP="00175ACD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5,243</w:t>
                  </w:r>
                </w:p>
              </w:tc>
            </w:tr>
            <w:tr w:rsidR="00DE611E" w:rsidRPr="00BC0CE6" w:rsidTr="00DE611E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60"/>
              </w:trPr>
              <w:tc>
                <w:tcPr>
                  <w:tcW w:w="3013" w:type="pct"/>
                  <w:vAlign w:val="center"/>
                </w:tcPr>
                <w:p w:rsidR="00DE611E" w:rsidRPr="0059219D" w:rsidRDefault="00EC5CC7" w:rsidP="00DE611E">
                  <w:r>
                    <w:t>Денежные средства</w:t>
                  </w:r>
                </w:p>
              </w:tc>
              <w:tc>
                <w:tcPr>
                  <w:tcW w:w="882" w:type="pct"/>
                  <w:vAlign w:val="center"/>
                </w:tcPr>
                <w:p w:rsidR="00DE611E" w:rsidRPr="0059219D" w:rsidRDefault="00EC5CC7" w:rsidP="00DE611E">
                  <w:pPr>
                    <w:jc w:val="center"/>
                  </w:pPr>
                  <w:r>
                    <w:t>-</w:t>
                  </w:r>
                </w:p>
              </w:tc>
              <w:tc>
                <w:tcPr>
                  <w:tcW w:w="1105" w:type="pct"/>
                  <w:vAlign w:val="center"/>
                </w:tcPr>
                <w:p w:rsidR="00DE611E" w:rsidRDefault="009065EE" w:rsidP="0035710E">
                  <w:pPr>
                    <w:jc w:val="center"/>
                  </w:pPr>
                  <w:r>
                    <w:t>0,0</w:t>
                  </w:r>
                  <w:r w:rsidR="00175ACD">
                    <w:t>49</w:t>
                  </w:r>
                </w:p>
              </w:tc>
            </w:tr>
          </w:tbl>
          <w:p w:rsidR="00787466" w:rsidRPr="00787466" w:rsidRDefault="00787466" w:rsidP="00787466">
            <w:pPr>
              <w:spacing w:before="120"/>
              <w:jc w:val="both"/>
              <w:rPr>
                <w:rFonts w:cs="Arial"/>
              </w:rPr>
            </w:pP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BC0CE6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87720C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227D45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7B6AB8" w:rsidRDefault="00BC0CE6" w:rsidP="007041B8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7B6AB8" w:rsidRPr="001B14E5" w:rsidTr="0087720C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Средний</w:t>
                  </w:r>
                </w:p>
              </w:tc>
            </w:tr>
            <w:tr w:rsidR="007B6AB8" w:rsidRPr="001B14E5" w:rsidTr="0087720C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7B6AB8" w:rsidRPr="00B200D2" w:rsidRDefault="007B6AB8" w:rsidP="007B6AB8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  <w:tc>
                <w:tcPr>
                  <w:tcW w:w="1816" w:type="pct"/>
                  <w:vAlign w:val="center"/>
                </w:tcPr>
                <w:p w:rsidR="007B6AB8" w:rsidRPr="00227D45" w:rsidRDefault="00227D45" w:rsidP="007B6AB8">
                  <w:r>
                    <w:t>Нет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  <w:tr w:rsidR="00C92008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5" w:type="dxa"/>
              <w:tblLayout w:type="fixed"/>
              <w:tblLook w:val="04A0" w:firstRow="1" w:lastRow="0" w:firstColumn="1" w:lastColumn="0" w:noHBand="0" w:noVBand="1"/>
            </w:tblPr>
            <w:tblGrid>
              <w:gridCol w:w="4238"/>
              <w:gridCol w:w="1155"/>
              <w:gridCol w:w="2406"/>
              <w:gridCol w:w="2406"/>
            </w:tblGrid>
            <w:tr w:rsidR="00227D45" w:rsidRPr="00250C76" w:rsidTr="00227D45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</w:tcPr>
                <w:p w:rsidR="00C92008" w:rsidRPr="00250C76" w:rsidRDefault="00C92008" w:rsidP="00CA7FB1">
                  <w:pPr>
                    <w:jc w:val="center"/>
                  </w:pPr>
                  <w:r w:rsidRPr="00250C76">
                    <w:t>Д</w:t>
                  </w:r>
                  <w:r w:rsidR="00FC657D">
                    <w:t>оходность за календарный год, %</w:t>
                  </w:r>
                </w:p>
              </w:tc>
              <w:tc>
                <w:tcPr>
                  <w:tcW w:w="2924" w:type="pct"/>
                  <w:gridSpan w:val="3"/>
                </w:tcPr>
                <w:p w:rsidR="00C92008" w:rsidRPr="00227D45" w:rsidRDefault="00C92008" w:rsidP="007041B8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227D45" w:rsidRPr="00DE34A7" w:rsidTr="0091410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 w:val="restart"/>
                  <w:vAlign w:val="center"/>
                </w:tcPr>
                <w:p w:rsidR="00C92008" w:rsidRPr="00250C76" w:rsidRDefault="00914102" w:rsidP="007041B8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3451160" wp14:editId="5D270356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66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79" w:type="pct"/>
                  <w:vMerge w:val="restart"/>
                  <w:shd w:val="clear" w:color="auto" w:fill="848E98" w:themeFill="accent3"/>
                  <w:vAlign w:val="center"/>
                </w:tcPr>
                <w:p w:rsidR="00C92008" w:rsidRPr="00DE34A7" w:rsidRDefault="00C92008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C92008" w:rsidRPr="00DE34A7" w:rsidRDefault="00345DE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227D45" w:rsidRPr="00DE34A7" w:rsidTr="00227D45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227D45" w:rsidRPr="00250C76" w:rsidRDefault="00227D45" w:rsidP="007041B8">
                  <w:pPr>
                    <w:jc w:val="center"/>
                  </w:pPr>
                </w:p>
              </w:tc>
              <w:tc>
                <w:tcPr>
                  <w:tcW w:w="566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vMerge/>
                  <w:shd w:val="clear" w:color="auto" w:fill="848E98" w:themeFill="accent3"/>
                  <w:vAlign w:val="center"/>
                </w:tcPr>
                <w:p w:rsidR="00227D45" w:rsidRPr="00DE34A7" w:rsidRDefault="00227D45" w:rsidP="007041B8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79" w:type="pct"/>
                  <w:shd w:val="clear" w:color="auto" w:fill="848E98" w:themeFill="accent3"/>
                  <w:vAlign w:val="center"/>
                </w:tcPr>
                <w:p w:rsidR="00227D45" w:rsidRPr="00EF6AD5" w:rsidRDefault="00227D45" w:rsidP="0091410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 инфляции</w:t>
                  </w:r>
                  <w:r w:rsidR="004E1E58">
                    <w:rPr>
                      <w:b/>
                      <w:color w:val="FFFFFF" w:themeColor="background1"/>
                      <w:sz w:val="14"/>
                    </w:rPr>
                    <w:t xml:space="preserve"> </w:t>
                  </w:r>
                  <w:r w:rsidR="004E1E58" w:rsidRPr="004E1E58">
                    <w:rPr>
                      <w:b/>
                      <w:color w:val="FF0000"/>
                      <w:sz w:val="14"/>
                    </w:rPr>
                    <w:t>*****</w:t>
                  </w:r>
                </w:p>
              </w:tc>
            </w:tr>
            <w:tr w:rsidR="00DA5B4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DA5B48" w:rsidRPr="00250C76" w:rsidRDefault="00DA5B48" w:rsidP="00DA5B4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DA5B48" w:rsidRPr="00FC6A6C" w:rsidRDefault="00DA5B48" w:rsidP="00DA5B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-2,5%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</w:tr>
            <w:tr w:rsidR="00DA5B48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DA5B48" w:rsidRPr="00250C76" w:rsidRDefault="00DA5B48" w:rsidP="00DA5B4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DA5B48" w:rsidRPr="00FC6A6C" w:rsidRDefault="00DA5B48" w:rsidP="00DA5B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1,0%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-2,6%</w:t>
                  </w:r>
                </w:p>
              </w:tc>
            </w:tr>
            <w:tr w:rsidR="00DA5B4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DA5B48" w:rsidRPr="00250C76" w:rsidRDefault="00DA5B48" w:rsidP="00DA5B4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DA5B48" w:rsidRPr="00FC6A6C" w:rsidRDefault="00DA5B48" w:rsidP="00DA5B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6,9%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1,4%</w:t>
                  </w:r>
                </w:p>
              </w:tc>
            </w:tr>
            <w:tr w:rsidR="00DA5B48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DA5B48" w:rsidRPr="00250C76" w:rsidRDefault="00DA5B48" w:rsidP="00DA5B4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DA5B48" w:rsidRPr="00FC6A6C" w:rsidRDefault="00DA5B48" w:rsidP="00DA5B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-12,2%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-21,7%</w:t>
                  </w:r>
                </w:p>
              </w:tc>
            </w:tr>
            <w:tr w:rsidR="00DA5B48" w:rsidRPr="00250C76" w:rsidTr="004A70F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DA5B48" w:rsidRPr="00250C76" w:rsidRDefault="00DA5B48" w:rsidP="00DA5B48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DA5B48" w:rsidRPr="00FC6A6C" w:rsidRDefault="00DA5B48" w:rsidP="00DA5B48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-58,1%</w:t>
                  </w:r>
                </w:p>
              </w:tc>
              <w:tc>
                <w:tcPr>
                  <w:tcW w:w="1179" w:type="pct"/>
                  <w:vAlign w:val="center"/>
                </w:tcPr>
                <w:p w:rsidR="00DA5B48" w:rsidRDefault="00DA5B48" w:rsidP="00DA5B48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-89,8%</w:t>
                  </w:r>
                </w:p>
              </w:tc>
            </w:tr>
            <w:tr w:rsidR="004A70FB" w:rsidRPr="00250C76" w:rsidTr="004A70FB">
              <w:trPr>
                <w:trHeight w:val="484"/>
              </w:trPr>
              <w:tc>
                <w:tcPr>
                  <w:tcW w:w="2076" w:type="pct"/>
                  <w:vMerge/>
                  <w:vAlign w:val="center"/>
                </w:tcPr>
                <w:p w:rsidR="004A70FB" w:rsidRPr="00250C76" w:rsidRDefault="004A70FB" w:rsidP="004A70FB">
                  <w:pPr>
                    <w:jc w:val="center"/>
                  </w:pPr>
                </w:p>
              </w:tc>
              <w:tc>
                <w:tcPr>
                  <w:tcW w:w="566" w:type="pct"/>
                  <w:vAlign w:val="center"/>
                </w:tcPr>
                <w:p w:rsidR="004A70FB" w:rsidRPr="00FC6A6C" w:rsidRDefault="004A70FB" w:rsidP="004A70FB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9" w:type="pct"/>
                  <w:vAlign w:val="center"/>
                </w:tcPr>
                <w:p w:rsidR="004A70FB" w:rsidRDefault="004A70FB" w:rsidP="004A70FB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1A7B28" w:rsidRDefault="001A7B28" w:rsidP="001A7B28">
            <w:pPr>
              <w:pStyle w:val="1"/>
              <w:numPr>
                <w:ilvl w:val="0"/>
                <w:numId w:val="16"/>
              </w:numPr>
              <w:spacing w:before="360"/>
            </w:pPr>
            <w:r>
              <w:t xml:space="preserve">Расчетная стоимость инвестиционного пая </w:t>
            </w:r>
            <w:r w:rsidR="00C60C16">
              <w:rPr>
                <w:b/>
              </w:rPr>
              <w:t>26,63</w:t>
            </w:r>
            <w:r w:rsidR="00E05934">
              <w:rPr>
                <w:b/>
              </w:rPr>
              <w:t xml:space="preserve"> </w:t>
            </w:r>
            <w:r w:rsidRPr="001A7B28">
              <w:rPr>
                <w:b/>
              </w:rPr>
              <w:t>руб.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1A7B28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Стоимость чистых активов паевого инвестиционного фонда</w:t>
            </w:r>
            <w:r w:rsidR="00E05934">
              <w:t xml:space="preserve"> </w:t>
            </w:r>
            <w:r w:rsidR="00370A72">
              <w:rPr>
                <w:b/>
              </w:rPr>
              <w:t>121 204 705,31</w:t>
            </w:r>
            <w:r>
              <w:t xml:space="preserve"> </w:t>
            </w:r>
            <w:r w:rsidRPr="001A7B28">
              <w:rPr>
                <w:b/>
              </w:rPr>
              <w:t>руб.</w:t>
            </w:r>
          </w:p>
          <w:p w:rsidR="00C92008" w:rsidRPr="00250C76" w:rsidRDefault="001A7B28" w:rsidP="001A7B28">
            <w:pPr>
              <w:pStyle w:val="1"/>
              <w:numPr>
                <w:ilvl w:val="0"/>
                <w:numId w:val="16"/>
              </w:numPr>
            </w:pPr>
            <w:r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</w:tc>
      </w:tr>
    </w:tbl>
    <w:p w:rsidR="00227D45" w:rsidRDefault="00227D45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3C6249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87720C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87720C">
                    <w:trPr>
                      <w:trHeight w:val="778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7041B8" w:rsidRDefault="003C6249" w:rsidP="007041B8">
                        <w:pPr>
                          <w:jc w:val="center"/>
                          <w:rPr>
                            <w:b/>
                          </w:rPr>
                        </w:pPr>
                        <w:r w:rsidRPr="007041B8"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3C6249" w:rsidRPr="00250C76" w:rsidTr="0087720C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3C6249" w:rsidRPr="00250C76" w:rsidRDefault="003C6249" w:rsidP="007041B8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7B6A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  <w:r w:rsidR="00377AA2">
                          <w:rPr>
                            <w:b/>
                          </w:rPr>
                          <w:t>.</w:t>
                        </w:r>
                        <w:r w:rsidRPr="0019252C">
                          <w:rPr>
                            <w:b/>
                          </w:rPr>
                          <w:t>2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CA7FB1" w:rsidP="00D654E2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77AA2">
                          <w:rPr>
                            <w:b/>
                          </w:rPr>
                          <w:t>3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3C6249" w:rsidRPr="00250C76" w:rsidTr="0087720C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3C6249" w:rsidRPr="00250C76" w:rsidRDefault="003C6249" w:rsidP="007041B8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3C6249" w:rsidRPr="007041B8" w:rsidRDefault="007B6AB8" w:rsidP="002852A5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</w:t>
                        </w:r>
                        <w:r w:rsidR="003C6249"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  <w:tr w:rsidR="00DE34A7" w:rsidTr="0087720C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7</w:t>
            </w:r>
            <w:r w:rsidRPr="00250C76">
              <w:t>. Иная информация</w:t>
            </w:r>
          </w:p>
          <w:p w:rsidR="00227D45" w:rsidRPr="00227D45" w:rsidRDefault="00227D45" w:rsidP="00227D45">
            <w:pPr>
              <w:pStyle w:val="1"/>
              <w:numPr>
                <w:ilvl w:val="0"/>
                <w:numId w:val="19"/>
              </w:numPr>
            </w:pPr>
            <w:r w:rsidRPr="00227D45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Правила доверительного управления паевым инвестиционным фондом зарегистрированы № 4436 от 27.05.2021 г.</w:t>
            </w:r>
          </w:p>
          <w:p w:rsidR="00DE611E" w:rsidRDefault="00DE611E" w:rsidP="00DE611E">
            <w:pPr>
              <w:pStyle w:val="1"/>
              <w:numPr>
                <w:ilvl w:val="0"/>
                <w:numId w:val="19"/>
              </w:numPr>
            </w:pPr>
            <w:r>
              <w:t>Паевой инвестиционный фонд сформирован 10.06.2021 г.</w:t>
            </w:r>
          </w:p>
          <w:p w:rsidR="007B6AB8" w:rsidRDefault="007B6AB8" w:rsidP="00DE611E">
            <w:pPr>
              <w:pStyle w:val="1"/>
              <w:numPr>
                <w:ilvl w:val="0"/>
                <w:numId w:val="19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461D58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461D58">
                <w:rPr>
                  <w:rStyle w:val="a4"/>
                  <w:lang w:val="en-US"/>
                </w:rPr>
                <w:t>www</w:t>
              </w:r>
              <w:r w:rsidRPr="00461D58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7B6AB8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Лицо, осуществляющее ведение реестра владельцев инвестиционных паев Акционерное общество «Независимая регистраторская компания Р.О.С.Т.», сайт </w:t>
            </w:r>
            <w:hyperlink r:id="rId13" w:history="1">
              <w:r w:rsidRPr="00461D58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7B6AB8" w:rsidP="007B6AB8">
            <w:pPr>
              <w:pStyle w:val="1"/>
              <w:numPr>
                <w:ilvl w:val="0"/>
                <w:numId w:val="19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461D58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RPr="00227D45" w:rsidTr="0087720C">
        <w:trPr>
          <w:trHeight w:val="1213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RPr="00227D45" w:rsidTr="0087720C">
              <w:tc>
                <w:tcPr>
                  <w:tcW w:w="10194" w:type="dxa"/>
                  <w:tcMar>
                    <w:top w:w="284" w:type="dxa"/>
                  </w:tcMar>
                </w:tcPr>
                <w:p w:rsidR="007B6AB8" w:rsidRPr="007B6AB8" w:rsidRDefault="007B6AB8" w:rsidP="007B6AB8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DE611E">
                    <w:rPr>
                      <w:sz w:val="14"/>
                    </w:rPr>
                    <w:t>1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год.</w:t>
                  </w:r>
                </w:p>
                <w:p w:rsidR="00EF6AD5" w:rsidRDefault="007B6AB8" w:rsidP="00EF6AD5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**</w:t>
                  </w:r>
                  <w:r w:rsidRPr="007B6AB8">
                    <w:rPr>
                      <w:sz w:val="14"/>
                    </w:rPr>
                    <w:t xml:space="preserve"> 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9B374C" w:rsidRDefault="009B374C" w:rsidP="009B374C">
                  <w:pPr>
                    <w:rPr>
                      <w:sz w:val="14"/>
                    </w:rPr>
                  </w:pP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9B374C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color w:val="EF3124" w:themeColor="accent1"/>
                      <w:sz w:val="14"/>
                    </w:rPr>
                    <w:t>*</w:t>
                  </w:r>
                  <w:r w:rsidRPr="007B6AB8">
                    <w:rPr>
                      <w:sz w:val="14"/>
                    </w:rPr>
                    <w:t xml:space="preserve"> Доходность за 202</w:t>
                  </w:r>
                  <w:r w:rsidR="004C68CA" w:rsidRPr="004C68CA">
                    <w:rPr>
                      <w:sz w:val="14"/>
                    </w:rPr>
                    <w:t>3</w:t>
                  </w:r>
                  <w:r w:rsidRPr="007B6AB8">
                    <w:rPr>
                      <w:sz w:val="14"/>
                    </w:rPr>
                    <w:t xml:space="preserve">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3C2DEB" w:rsidRDefault="005E3DE8" w:rsidP="00EF6AD5">
                  <w:pPr>
                    <w:rPr>
                      <w:sz w:val="14"/>
                    </w:rPr>
                  </w:pPr>
                  <w:r w:rsidRPr="005E3DE8">
                    <w:rPr>
                      <w:color w:val="FF0000"/>
                      <w:sz w:val="14"/>
                    </w:rPr>
                    <w:t>*</w:t>
                  </w:r>
                  <w:r w:rsidR="009B374C" w:rsidRPr="009B374C">
                    <w:rPr>
                      <w:color w:val="FF0000"/>
                      <w:sz w:val="14"/>
                    </w:rPr>
                    <w:t>*</w:t>
                  </w:r>
                  <w:r w:rsidRPr="005E3DE8">
                    <w:rPr>
                      <w:color w:val="FF0000"/>
                      <w:sz w:val="14"/>
                    </w:rPr>
                    <w:t>**</w:t>
                  </w:r>
                  <w:r w:rsidRPr="005E3DE8">
                    <w:rPr>
                      <w:sz w:val="14"/>
                    </w:rPr>
                    <w:t xml:space="preserve"> Данные не указываются по причине невозможности определения показателя по состоянию на отчетную дату.</w:t>
                  </w:r>
                </w:p>
                <w:p w:rsidR="004E1E58" w:rsidRPr="00227D45" w:rsidRDefault="004E1E58" w:rsidP="00EF6AD5">
                  <w:pPr>
                    <w:rPr>
                      <w:sz w:val="14"/>
                    </w:rPr>
                  </w:pPr>
                  <w:r w:rsidRPr="00602F8A">
                    <w:rPr>
                      <w:color w:val="FF0000"/>
                      <w:sz w:val="14"/>
                    </w:rPr>
                    <w:t>*</w:t>
                  </w:r>
                  <w:r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color w:val="FF0000"/>
                      <w:sz w:val="14"/>
                    </w:rPr>
                    <w:t>**</w:t>
                  </w:r>
                  <w:r w:rsidRPr="00602F8A">
                    <w:rPr>
                      <w:sz w:val="14"/>
                    </w:rPr>
                    <w:t xml:space="preserve">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</w:tc>
            </w:tr>
          </w:tbl>
          <w:p w:rsidR="00FC657D" w:rsidRPr="00227D45" w:rsidRDefault="00FC657D" w:rsidP="00FC657D"/>
        </w:tc>
      </w:tr>
    </w:tbl>
    <w:p w:rsidR="00FB0F11" w:rsidRPr="00227D45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27D45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9D8" w:rsidRDefault="005D19D8" w:rsidP="00566956">
      <w:r>
        <w:separator/>
      </w:r>
    </w:p>
  </w:endnote>
  <w:endnote w:type="continuationSeparator" w:id="0">
    <w:p w:rsidR="005D19D8" w:rsidRDefault="005D19D8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9D8" w:rsidRDefault="005D19D8" w:rsidP="00566956">
      <w:r>
        <w:separator/>
      </w:r>
    </w:p>
  </w:footnote>
  <w:footnote w:type="continuationSeparator" w:id="0">
    <w:p w:rsidR="005D19D8" w:rsidRDefault="005D19D8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  <w:lvlOverride w:ilvl="0">
      <w:startOverride w:val="1"/>
    </w:lvlOverride>
  </w:num>
  <w:num w:numId="19">
    <w:abstractNumId w:val="12"/>
    <w:lvlOverride w:ilvl="0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06C9B"/>
    <w:rsid w:val="00030C35"/>
    <w:rsid w:val="00031217"/>
    <w:rsid w:val="00050665"/>
    <w:rsid w:val="00063091"/>
    <w:rsid w:val="000636FB"/>
    <w:rsid w:val="00082C02"/>
    <w:rsid w:val="00090FB7"/>
    <w:rsid w:val="00092A57"/>
    <w:rsid w:val="00092C3D"/>
    <w:rsid w:val="0009690D"/>
    <w:rsid w:val="000A3EF1"/>
    <w:rsid w:val="000A77EA"/>
    <w:rsid w:val="000C28BB"/>
    <w:rsid w:val="00100D52"/>
    <w:rsid w:val="0011159C"/>
    <w:rsid w:val="00122B90"/>
    <w:rsid w:val="00126067"/>
    <w:rsid w:val="001303A6"/>
    <w:rsid w:val="00136E66"/>
    <w:rsid w:val="0016619D"/>
    <w:rsid w:val="00170A2C"/>
    <w:rsid w:val="00175ACD"/>
    <w:rsid w:val="001876FF"/>
    <w:rsid w:val="0019252C"/>
    <w:rsid w:val="0019376B"/>
    <w:rsid w:val="001A3F7F"/>
    <w:rsid w:val="001A6ECA"/>
    <w:rsid w:val="001A7B28"/>
    <w:rsid w:val="001B14E5"/>
    <w:rsid w:val="001B1A9F"/>
    <w:rsid w:val="001C0F8E"/>
    <w:rsid w:val="001D2E5A"/>
    <w:rsid w:val="001D2E61"/>
    <w:rsid w:val="001D3D4D"/>
    <w:rsid w:val="001D45B1"/>
    <w:rsid w:val="001E5B78"/>
    <w:rsid w:val="001E7508"/>
    <w:rsid w:val="00227D45"/>
    <w:rsid w:val="002303FB"/>
    <w:rsid w:val="00230966"/>
    <w:rsid w:val="00242C33"/>
    <w:rsid w:val="00250C76"/>
    <w:rsid w:val="002639C3"/>
    <w:rsid w:val="00282AC3"/>
    <w:rsid w:val="00283A03"/>
    <w:rsid w:val="002852A5"/>
    <w:rsid w:val="002A7678"/>
    <w:rsid w:val="002B2AB7"/>
    <w:rsid w:val="002C2FC5"/>
    <w:rsid w:val="00324C85"/>
    <w:rsid w:val="00332499"/>
    <w:rsid w:val="00337E24"/>
    <w:rsid w:val="00345DE5"/>
    <w:rsid w:val="00346D6F"/>
    <w:rsid w:val="003478B5"/>
    <w:rsid w:val="00350CC8"/>
    <w:rsid w:val="0035710E"/>
    <w:rsid w:val="003604DA"/>
    <w:rsid w:val="00370A72"/>
    <w:rsid w:val="00377AA2"/>
    <w:rsid w:val="00396F86"/>
    <w:rsid w:val="003C2DEB"/>
    <w:rsid w:val="003C2F8E"/>
    <w:rsid w:val="003C6249"/>
    <w:rsid w:val="004070AC"/>
    <w:rsid w:val="004074F3"/>
    <w:rsid w:val="00432B55"/>
    <w:rsid w:val="00444EF9"/>
    <w:rsid w:val="00445C6E"/>
    <w:rsid w:val="00446BD1"/>
    <w:rsid w:val="004904A8"/>
    <w:rsid w:val="004A70FB"/>
    <w:rsid w:val="004B650B"/>
    <w:rsid w:val="004C68CA"/>
    <w:rsid w:val="004E1E58"/>
    <w:rsid w:val="00534326"/>
    <w:rsid w:val="00544567"/>
    <w:rsid w:val="00561A55"/>
    <w:rsid w:val="00566956"/>
    <w:rsid w:val="00596E3B"/>
    <w:rsid w:val="005A2F3B"/>
    <w:rsid w:val="005A6146"/>
    <w:rsid w:val="005B5081"/>
    <w:rsid w:val="005C7303"/>
    <w:rsid w:val="005D097C"/>
    <w:rsid w:val="005D19D8"/>
    <w:rsid w:val="005E3DE8"/>
    <w:rsid w:val="005F11D7"/>
    <w:rsid w:val="00600320"/>
    <w:rsid w:val="00605F31"/>
    <w:rsid w:val="00615639"/>
    <w:rsid w:val="00631387"/>
    <w:rsid w:val="0066047B"/>
    <w:rsid w:val="00665F3B"/>
    <w:rsid w:val="00684892"/>
    <w:rsid w:val="006A1DAF"/>
    <w:rsid w:val="006A52E9"/>
    <w:rsid w:val="006B571D"/>
    <w:rsid w:val="006B7D30"/>
    <w:rsid w:val="006C4C61"/>
    <w:rsid w:val="006D522D"/>
    <w:rsid w:val="006E7897"/>
    <w:rsid w:val="007041B8"/>
    <w:rsid w:val="00706E7A"/>
    <w:rsid w:val="00714E9F"/>
    <w:rsid w:val="00730848"/>
    <w:rsid w:val="00732A5A"/>
    <w:rsid w:val="007428D0"/>
    <w:rsid w:val="007430AA"/>
    <w:rsid w:val="007553BC"/>
    <w:rsid w:val="007561C8"/>
    <w:rsid w:val="00772E9D"/>
    <w:rsid w:val="007810AB"/>
    <w:rsid w:val="007839AF"/>
    <w:rsid w:val="00787466"/>
    <w:rsid w:val="00795A59"/>
    <w:rsid w:val="007A6037"/>
    <w:rsid w:val="007B6AB8"/>
    <w:rsid w:val="007C7843"/>
    <w:rsid w:val="007E127F"/>
    <w:rsid w:val="007E1D58"/>
    <w:rsid w:val="007E5375"/>
    <w:rsid w:val="007E65F9"/>
    <w:rsid w:val="00802D4A"/>
    <w:rsid w:val="00806BAD"/>
    <w:rsid w:val="00816C91"/>
    <w:rsid w:val="00816F35"/>
    <w:rsid w:val="00840FEA"/>
    <w:rsid w:val="0084305B"/>
    <w:rsid w:val="00851178"/>
    <w:rsid w:val="008513A8"/>
    <w:rsid w:val="008550A1"/>
    <w:rsid w:val="008651A9"/>
    <w:rsid w:val="008706EA"/>
    <w:rsid w:val="008764D8"/>
    <w:rsid w:val="0087720C"/>
    <w:rsid w:val="00883ACF"/>
    <w:rsid w:val="008A4E95"/>
    <w:rsid w:val="008B0D6A"/>
    <w:rsid w:val="008B2459"/>
    <w:rsid w:val="008C34C5"/>
    <w:rsid w:val="008C6C21"/>
    <w:rsid w:val="008E6FBA"/>
    <w:rsid w:val="008F0B63"/>
    <w:rsid w:val="009065EE"/>
    <w:rsid w:val="00912219"/>
    <w:rsid w:val="00914102"/>
    <w:rsid w:val="00923988"/>
    <w:rsid w:val="00967008"/>
    <w:rsid w:val="00976AAE"/>
    <w:rsid w:val="0099763A"/>
    <w:rsid w:val="009B374C"/>
    <w:rsid w:val="009C4836"/>
    <w:rsid w:val="009F28EB"/>
    <w:rsid w:val="009F674F"/>
    <w:rsid w:val="00A003E1"/>
    <w:rsid w:val="00A0656C"/>
    <w:rsid w:val="00A0773D"/>
    <w:rsid w:val="00A41760"/>
    <w:rsid w:val="00A729D0"/>
    <w:rsid w:val="00A80A9B"/>
    <w:rsid w:val="00AA57F5"/>
    <w:rsid w:val="00AA7E8D"/>
    <w:rsid w:val="00AB473F"/>
    <w:rsid w:val="00AD0BBC"/>
    <w:rsid w:val="00AD72DB"/>
    <w:rsid w:val="00AF334C"/>
    <w:rsid w:val="00AF34AE"/>
    <w:rsid w:val="00B136C6"/>
    <w:rsid w:val="00B200D2"/>
    <w:rsid w:val="00B2641F"/>
    <w:rsid w:val="00B26DC7"/>
    <w:rsid w:val="00B504D4"/>
    <w:rsid w:val="00B703A5"/>
    <w:rsid w:val="00BA12BE"/>
    <w:rsid w:val="00BA3D26"/>
    <w:rsid w:val="00BA7CFF"/>
    <w:rsid w:val="00BB3BA9"/>
    <w:rsid w:val="00BC0CE6"/>
    <w:rsid w:val="00BE0112"/>
    <w:rsid w:val="00C03C75"/>
    <w:rsid w:val="00C12F1C"/>
    <w:rsid w:val="00C2643E"/>
    <w:rsid w:val="00C60C16"/>
    <w:rsid w:val="00C745A2"/>
    <w:rsid w:val="00C8510E"/>
    <w:rsid w:val="00C9150A"/>
    <w:rsid w:val="00C92008"/>
    <w:rsid w:val="00CA5EBC"/>
    <w:rsid w:val="00CA7FB1"/>
    <w:rsid w:val="00CB1815"/>
    <w:rsid w:val="00CC71D8"/>
    <w:rsid w:val="00CE53B5"/>
    <w:rsid w:val="00D03E08"/>
    <w:rsid w:val="00D12D9E"/>
    <w:rsid w:val="00D46F9D"/>
    <w:rsid w:val="00D654E2"/>
    <w:rsid w:val="00D65E8D"/>
    <w:rsid w:val="00D70374"/>
    <w:rsid w:val="00D967A1"/>
    <w:rsid w:val="00DA4D8C"/>
    <w:rsid w:val="00DA5B48"/>
    <w:rsid w:val="00DB3F80"/>
    <w:rsid w:val="00DB5AA0"/>
    <w:rsid w:val="00DE34A7"/>
    <w:rsid w:val="00DE611E"/>
    <w:rsid w:val="00E05934"/>
    <w:rsid w:val="00E462D4"/>
    <w:rsid w:val="00E538F4"/>
    <w:rsid w:val="00E558E4"/>
    <w:rsid w:val="00E70778"/>
    <w:rsid w:val="00E708E9"/>
    <w:rsid w:val="00E7508F"/>
    <w:rsid w:val="00E772AB"/>
    <w:rsid w:val="00E94790"/>
    <w:rsid w:val="00E956F2"/>
    <w:rsid w:val="00EA3AF7"/>
    <w:rsid w:val="00EB0EA2"/>
    <w:rsid w:val="00EB27F7"/>
    <w:rsid w:val="00EB5125"/>
    <w:rsid w:val="00EC2223"/>
    <w:rsid w:val="00EC5CC7"/>
    <w:rsid w:val="00ED0F99"/>
    <w:rsid w:val="00ED7BFB"/>
    <w:rsid w:val="00EE5BE2"/>
    <w:rsid w:val="00EF3CF1"/>
    <w:rsid w:val="00EF6AD5"/>
    <w:rsid w:val="00F15E28"/>
    <w:rsid w:val="00F33206"/>
    <w:rsid w:val="00F40F24"/>
    <w:rsid w:val="00F561E3"/>
    <w:rsid w:val="00FA269D"/>
    <w:rsid w:val="00FB0F11"/>
    <w:rsid w:val="00FB6711"/>
    <w:rsid w:val="00FB6B12"/>
    <w:rsid w:val="00FB7CFA"/>
    <w:rsid w:val="00FC657D"/>
    <w:rsid w:val="00FC6A6C"/>
    <w:rsid w:val="00FD3842"/>
    <w:rsid w:val="00FD5AD7"/>
    <w:rsid w:val="00FE50E7"/>
    <w:rsid w:val="00FF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/disclosure/pifs_closed/zpif-medicine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ДОХОДНОСТЬ!$O$198:$O$201</c:f>
              <c:strCache>
                <c:ptCount val="4"/>
                <c:pt idx="0">
                  <c:v>2021*</c:v>
                </c:pt>
                <c:pt idx="1">
                  <c:v>2022**</c:v>
                </c:pt>
                <c:pt idx="2">
                  <c:v>2023***</c:v>
                </c:pt>
                <c:pt idx="3">
                  <c:v>2024</c:v>
                </c:pt>
              </c:strCache>
            </c:strRef>
          </c:cat>
          <c:val>
            <c:numRef>
              <c:f>ДОХОДНОСТЬ!$P$198:$P$201</c:f>
              <c:numCache>
                <c:formatCode>0.0%</c:formatCode>
                <c:ptCount val="4"/>
                <c:pt idx="0">
                  <c:v>-6.9847568681318695E-2</c:v>
                </c:pt>
                <c:pt idx="1">
                  <c:v>-1.2570786098113351E-2</c:v>
                </c:pt>
                <c:pt idx="2">
                  <c:v>-0.55573770491803276</c:v>
                </c:pt>
                <c:pt idx="3">
                  <c:v>-8.352901710835281E-2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D4B-446D-A56B-99FDF5831D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4FF0F-B823-49A5-970B-2EF396802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1029</Words>
  <Characters>5870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6886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130</cp:revision>
  <dcterms:created xsi:type="dcterms:W3CDTF">2023-03-22T12:36:00Z</dcterms:created>
  <dcterms:modified xsi:type="dcterms:W3CDTF">2025-02-07T14:44:00Z</dcterms:modified>
</cp:coreProperties>
</file>