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900"/>
        <w:gridCol w:w="130"/>
        <w:gridCol w:w="1254"/>
        <w:gridCol w:w="1323"/>
        <w:gridCol w:w="1124"/>
        <w:gridCol w:w="318"/>
        <w:gridCol w:w="1363"/>
      </w:tblGrid>
      <w:tr w:rsidR="00A25CC8" w14:paraId="5BBE3ABE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F2E7AD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1536A5">
              <w:t>29</w:t>
            </w:r>
            <w:r w:rsidR="00A25CC8" w:rsidRPr="00FC5169">
              <w:t>.</w:t>
            </w:r>
            <w:r w:rsidR="0050713A" w:rsidRPr="00FC5169">
              <w:t>0</w:t>
            </w:r>
            <w:r w:rsidR="001536A5">
              <w:t>4</w:t>
            </w:r>
            <w:r w:rsidR="00A25CC8" w:rsidRPr="00FC5169">
              <w:t>.202</w:t>
            </w:r>
            <w:r w:rsidR="0050713A" w:rsidRPr="00FC516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proofErr w:type="spellStart"/>
            <w:r w:rsidR="00540F5B">
              <w:t>Инвестбаланс</w:t>
            </w:r>
            <w:proofErr w:type="spellEnd"/>
            <w:r w:rsidRPr="003F4E70">
              <w:t>”</w:t>
            </w:r>
          </w:p>
        </w:tc>
      </w:tr>
      <w:tr w:rsidR="00A25CC8" w14:paraId="6CBBD949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78C4898" w:rsidR="00A25CC8" w:rsidRDefault="00A25CC8" w:rsidP="00E929B8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>АО «</w:t>
            </w:r>
            <w:r w:rsidR="00E929B8" w:rsidRPr="009340EF">
              <w:t>Управляющая компания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9751CEB" w:rsidR="00A25CC8" w:rsidRDefault="00A350AB" w:rsidP="000E62A1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540F5B" w:rsidRPr="009340EF">
              <w:rPr>
                <w:color w:val="0000FF"/>
              </w:rPr>
              <w:t>https://www.capital-am.ru/disclosure/funds/inbal</w:t>
            </w:r>
            <w:r w:rsidR="00D578CB" w:rsidRPr="009340EF">
              <w:t>.</w:t>
            </w:r>
          </w:p>
        </w:tc>
      </w:tr>
      <w:tr w:rsidR="00A25CC8" w14:paraId="5B39245A" w14:textId="77777777" w:rsidTr="0075129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13ED2556" w:rsidR="005C235E" w:rsidRDefault="005C235E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5C235E">
              <w:t xml:space="preserve">В настоящий момент ИПИФ </w:t>
            </w:r>
            <w:r w:rsidR="00A350AB">
              <w:t>рыночных финансовых инструментов</w:t>
            </w:r>
            <w:r w:rsidR="00A350AB" w:rsidRPr="005C235E">
              <w:t xml:space="preserve"> </w:t>
            </w:r>
            <w:r w:rsidRPr="005C235E">
              <w:t>«</w:t>
            </w:r>
            <w:proofErr w:type="spellStart"/>
            <w:r w:rsidRPr="005C235E">
              <w:t>Инвестбаланс</w:t>
            </w:r>
            <w:proofErr w:type="spellEnd"/>
            <w:r w:rsidRPr="005C235E">
              <w:t>» представляет собой фонд акций широкого рынка с акцентом на высоколиквидные бумаги первого эшелона.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26451168" w:rsidR="00A25CC8" w:rsidRPr="00032105" w:rsidRDefault="00A25CC8" w:rsidP="0067530E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67530E">
              <w:t>39</w:t>
            </w:r>
            <w:r w:rsidRPr="00FD6C0B">
              <w:t xml:space="preserve"> </w:t>
            </w:r>
            <w:r w:rsidR="001D11FC" w:rsidRPr="00FD6C0B">
              <w:t>о</w:t>
            </w:r>
            <w:r w:rsidR="001E495B" w:rsidRPr="00FD6C0B">
              <w:t>бъект</w:t>
            </w:r>
            <w:r w:rsidR="0067530E">
              <w:t>ов</w:t>
            </w:r>
            <w:r w:rsidR="001E495B" w:rsidRPr="00FD6C0B"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FD6C0B">
              <w:t>Крупнейшие объекты инвестирования в активах</w:t>
            </w:r>
            <w:r w:rsidR="00D578CB" w:rsidRPr="008170E7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8"/>
              <w:gridCol w:w="1795"/>
              <w:gridCol w:w="1204"/>
            </w:tblGrid>
            <w:tr w:rsidR="009129A2" w:rsidRPr="001E495B" w14:paraId="43E6AF27" w14:textId="77777777" w:rsidTr="008170E7">
              <w:trPr>
                <w:trHeight w:val="333"/>
              </w:trPr>
              <w:tc>
                <w:tcPr>
                  <w:tcW w:w="2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3D12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FD6C0B" w:rsidRPr="001E495B" w14:paraId="79E95E21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3C5DAFD" w:rsidR="00FD6C0B" w:rsidRPr="003F4E70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525E22">
                    <w:t xml:space="preserve">НК "Роснефть", </w:t>
                  </w:r>
                  <w:proofErr w:type="spellStart"/>
                  <w:r w:rsidRPr="00525E22">
                    <w:t>ао</w:t>
                  </w:r>
                  <w:proofErr w:type="spellEnd"/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609D9D89" w:rsidR="00FD6C0B" w:rsidRPr="001E495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25E22">
                    <w:t>RU000A0J2Q06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E686F2D" w:rsidR="00FD6C0B" w:rsidRPr="001E495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525E22">
                    <w:t>7,76</w:t>
                  </w:r>
                </w:p>
              </w:tc>
            </w:tr>
            <w:tr w:rsidR="00FD6C0B" w:rsidRPr="001E495B" w14:paraId="7E4170BC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0669759C" w:rsidR="00FD6C0B" w:rsidRPr="002D2CD5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525E22">
                    <w:t xml:space="preserve">Газпром, </w:t>
                  </w:r>
                  <w:proofErr w:type="spellStart"/>
                  <w:r w:rsidRPr="00525E22">
                    <w:t>ао</w:t>
                  </w:r>
                  <w:proofErr w:type="spellEnd"/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24DB93B" w:rsidR="00FD6C0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25E22">
                    <w:t>RU0007661625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77DC9B1" w:rsidR="00FD6C0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25E22">
                    <w:t>7,54</w:t>
                  </w:r>
                </w:p>
              </w:tc>
            </w:tr>
            <w:tr w:rsidR="00FD6C0B" w:rsidRPr="001E495B" w14:paraId="24B23156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0AF22658" w:rsidR="00FD6C0B" w:rsidRPr="00555F15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525E22">
                    <w:t>Облигации АО "СТМ" №4B02-02-55323-E-001P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06001616" w:rsidR="00FD6C0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25E22">
                    <w:t>RU000A103G00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0FAF7BEC" w:rsidR="00FD6C0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25E22">
                    <w:t>7,23</w:t>
                  </w:r>
                </w:p>
              </w:tc>
            </w:tr>
            <w:tr w:rsidR="00FD6C0B" w:rsidRPr="001E495B" w14:paraId="45EA09CF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2C0995D7" w:rsidR="00FD6C0B" w:rsidRPr="002D2CD5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525E22">
                    <w:t xml:space="preserve">ЛУКОЙЛ, </w:t>
                  </w:r>
                  <w:proofErr w:type="spellStart"/>
                  <w:r w:rsidRPr="00525E22">
                    <w:t>ао</w:t>
                  </w:r>
                  <w:proofErr w:type="spellEnd"/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7B866C21" w:rsidR="00FD6C0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25E22">
                    <w:t>RU0009024277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5A31C06F" w:rsidR="00FD6C0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25E22">
                    <w:t>6,84</w:t>
                  </w:r>
                </w:p>
              </w:tc>
            </w:tr>
            <w:tr w:rsidR="00FD6C0B" w:rsidRPr="001E495B" w14:paraId="4E7571C0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54025CFD" w:rsidR="00FD6C0B" w:rsidRPr="003F4E70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525E22">
                    <w:t>Облигации Минфин России №26220RMFS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F4C93A9" w:rsidR="00FD6C0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25E22">
                    <w:t>RU000A0JXB41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22E992F2" w:rsidR="00FD6C0B" w:rsidRDefault="00FD6C0B" w:rsidP="003D12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25E22">
                    <w:t>6,8</w:t>
                  </w:r>
                  <w:r>
                    <w:t>3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3814D6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E3DD" w14:textId="77777777" w:rsidR="004210A1" w:rsidRDefault="004210A1" w:rsidP="00E75BE8">
            <w:pPr>
              <w:pStyle w:val="ConsPlusNormal"/>
              <w:jc w:val="both"/>
              <w:outlineLvl w:val="1"/>
            </w:pPr>
          </w:p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3814D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59FDD" w14:textId="77777777" w:rsidR="003814D6" w:rsidRDefault="003814D6" w:rsidP="00E75BE8">
            <w:pPr>
              <w:pStyle w:val="ConsPlusNormal"/>
              <w:jc w:val="both"/>
              <w:outlineLvl w:val="1"/>
            </w:pPr>
          </w:p>
          <w:p w14:paraId="4DF7882F" w14:textId="77777777" w:rsidR="00793C2C" w:rsidRDefault="00793C2C" w:rsidP="00E75BE8">
            <w:pPr>
              <w:pStyle w:val="ConsPlusNormal"/>
              <w:jc w:val="both"/>
              <w:outlineLvl w:val="1"/>
            </w:pPr>
          </w:p>
          <w:p w14:paraId="40D4E732" w14:textId="1911766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7D0370">
              <w:lastRenderedPageBreak/>
              <w:t>Доходность за календарный год</w:t>
            </w:r>
            <w:r>
              <w:t>, %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7D0370">
              <w:t>Доходность за период, %</w:t>
            </w:r>
          </w:p>
        </w:tc>
      </w:tr>
      <w:tr w:rsidR="00100532" w14:paraId="62A8DE2E" w14:textId="77777777" w:rsidTr="00B8650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3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37FDEB1" w:rsidR="00BC484D" w:rsidRDefault="00BC484D" w:rsidP="002D2CD5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t xml:space="preserve"> </w:t>
            </w:r>
            <w:r w:rsidR="007D0370">
              <w:rPr>
                <w:noProof/>
              </w:rPr>
              <w:drawing>
                <wp:inline distT="0" distB="0" distL="0" distR="0" wp14:anchorId="4A2ECFAD" wp14:editId="037F3E26">
                  <wp:extent cx="2816860" cy="1347470"/>
                  <wp:effectExtent l="0" t="0" r="254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86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B8650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C484D" w:rsidRDefault="00BC484D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3D1292" w14:paraId="3817651D" w14:textId="77777777" w:rsidTr="00D670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3D1292" w:rsidRDefault="003D1292" w:rsidP="003D129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3D1292" w:rsidRDefault="003D1292" w:rsidP="003D1292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16FC4C6B" w:rsidR="003D1292" w:rsidRDefault="003D1292" w:rsidP="003D1292">
            <w:pPr>
              <w:pStyle w:val="ConsPlusNormal"/>
              <w:jc w:val="center"/>
            </w:pPr>
            <w:r w:rsidRPr="000874BB">
              <w:t>1,5%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22BA6BED" w:rsidR="003D1292" w:rsidRPr="00D2358C" w:rsidRDefault="003D1292" w:rsidP="003D1292">
            <w:pPr>
              <w:pStyle w:val="ConsPlusNormal"/>
              <w:jc w:val="center"/>
              <w:rPr>
                <w:highlight w:val="yellow"/>
              </w:rPr>
            </w:pPr>
            <w:r w:rsidRPr="00CC0A73">
              <w:t>0,0%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3D1292" w:rsidRDefault="003D1292" w:rsidP="003D1292">
            <w:pPr>
              <w:jc w:val="center"/>
            </w:pPr>
          </w:p>
        </w:tc>
      </w:tr>
      <w:tr w:rsidR="003D1292" w14:paraId="793AD32B" w14:textId="77777777" w:rsidTr="00D670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3D1292" w:rsidRDefault="003D1292" w:rsidP="003D129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3D1292" w:rsidRDefault="003D1292" w:rsidP="003D1292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40B0F172" w:rsidR="003D1292" w:rsidRDefault="003D1292" w:rsidP="003D1292">
            <w:pPr>
              <w:pStyle w:val="ConsPlusNormal"/>
              <w:jc w:val="center"/>
            </w:pPr>
            <w:r w:rsidRPr="000874BB">
              <w:t>-18,7%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5F4D4A24" w:rsidR="003D1292" w:rsidRPr="00D2358C" w:rsidRDefault="003D1292" w:rsidP="003D1292">
            <w:pPr>
              <w:pStyle w:val="ConsPlusNormal"/>
              <w:jc w:val="center"/>
              <w:rPr>
                <w:highlight w:val="yellow"/>
              </w:rPr>
            </w:pPr>
            <w:r w:rsidRPr="00CC0A73">
              <w:t>-29,0%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3D1292" w:rsidRDefault="003D1292" w:rsidP="003D1292">
            <w:pPr>
              <w:jc w:val="center"/>
            </w:pPr>
          </w:p>
        </w:tc>
      </w:tr>
      <w:tr w:rsidR="003D1292" w14:paraId="08529EC6" w14:textId="77777777" w:rsidTr="00D670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3D1292" w:rsidRDefault="003D1292" w:rsidP="003D129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3D1292" w:rsidRDefault="003D1292" w:rsidP="003D1292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241C4656" w:rsidR="003D1292" w:rsidRDefault="003D1292" w:rsidP="003D1292">
            <w:pPr>
              <w:pStyle w:val="ConsPlusNormal"/>
              <w:jc w:val="center"/>
            </w:pPr>
            <w:r w:rsidRPr="000874BB">
              <w:t>-24,7%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40BFD8C0" w:rsidR="003D1292" w:rsidRPr="00D2358C" w:rsidRDefault="003D1292" w:rsidP="003D1292">
            <w:pPr>
              <w:pStyle w:val="ConsPlusNormal"/>
              <w:jc w:val="center"/>
              <w:rPr>
                <w:highlight w:val="yellow"/>
              </w:rPr>
            </w:pPr>
            <w:r w:rsidRPr="00CC0A73">
              <w:t>-37,8%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3D1292" w:rsidRDefault="003D1292" w:rsidP="003D1292">
            <w:pPr>
              <w:jc w:val="center"/>
            </w:pPr>
          </w:p>
        </w:tc>
      </w:tr>
      <w:tr w:rsidR="003D1292" w14:paraId="46143B1F" w14:textId="77777777" w:rsidTr="00D670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3D1292" w:rsidRDefault="003D1292" w:rsidP="003D129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3D1292" w:rsidRDefault="003D1292" w:rsidP="003D1292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36F731B8" w:rsidR="003D1292" w:rsidRDefault="003D1292" w:rsidP="003D1292">
            <w:pPr>
              <w:pStyle w:val="ConsPlusNormal"/>
              <w:jc w:val="center"/>
            </w:pPr>
            <w:r w:rsidRPr="000874BB">
              <w:t>-16,3%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44CFF1BD" w:rsidR="003D1292" w:rsidRPr="00D2358C" w:rsidRDefault="003D1292" w:rsidP="003D1292">
            <w:pPr>
              <w:pStyle w:val="ConsPlusNormal"/>
              <w:jc w:val="center"/>
              <w:rPr>
                <w:highlight w:val="yellow"/>
              </w:rPr>
            </w:pPr>
            <w:r w:rsidRPr="00CC0A73">
              <w:t>-34,1%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3D1292" w:rsidRDefault="003D1292" w:rsidP="003D1292">
            <w:pPr>
              <w:jc w:val="center"/>
            </w:pPr>
          </w:p>
        </w:tc>
      </w:tr>
      <w:tr w:rsidR="003D1292" w14:paraId="333F3457" w14:textId="77777777" w:rsidTr="00D670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3D1292" w:rsidRDefault="003D1292" w:rsidP="003D129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D1292" w:rsidRDefault="003D1292" w:rsidP="003D129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2DC7CFC4" w:rsidR="003D1292" w:rsidRDefault="003D1292" w:rsidP="003D1292">
            <w:pPr>
              <w:pStyle w:val="ConsPlusNormal"/>
              <w:jc w:val="center"/>
            </w:pPr>
            <w:r w:rsidRPr="000874BB">
              <w:t>7,5%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712FF0C6" w:rsidR="003D1292" w:rsidRPr="00D2358C" w:rsidRDefault="003D1292" w:rsidP="003D1292">
            <w:pPr>
              <w:pStyle w:val="ConsPlusNormal"/>
              <w:jc w:val="center"/>
              <w:rPr>
                <w:highlight w:val="yellow"/>
              </w:rPr>
            </w:pPr>
            <w:r w:rsidRPr="00CC0A73">
              <w:t>-18,9%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3D1292" w:rsidRDefault="003D1292" w:rsidP="003D1292">
            <w:pPr>
              <w:jc w:val="center"/>
            </w:pPr>
          </w:p>
        </w:tc>
      </w:tr>
      <w:tr w:rsidR="003D1292" w14:paraId="576664AA" w14:textId="77777777" w:rsidTr="00D67042">
        <w:tblPrEx>
          <w:tblBorders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3D1292" w:rsidRDefault="003D1292" w:rsidP="003D129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D1292" w:rsidRDefault="003D1292" w:rsidP="003D129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23DD7BB0" w:rsidR="003D1292" w:rsidRDefault="003D1292" w:rsidP="003D1292">
            <w:pPr>
              <w:pStyle w:val="ConsPlusNormal"/>
              <w:jc w:val="center"/>
            </w:pPr>
            <w:r w:rsidRPr="000874BB">
              <w:t>30,4%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1E1C8212" w:rsidR="003D1292" w:rsidRPr="00D2358C" w:rsidRDefault="003D1292" w:rsidP="003D1292">
            <w:pPr>
              <w:pStyle w:val="ConsPlusNormal"/>
              <w:jc w:val="center"/>
              <w:rPr>
                <w:highlight w:val="yellow"/>
              </w:rPr>
            </w:pPr>
            <w:r w:rsidRPr="00CC0A73">
              <w:t>-3,6%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3D1292" w:rsidRDefault="003D1292" w:rsidP="003D1292">
            <w:pPr>
              <w:jc w:val="center"/>
            </w:pPr>
          </w:p>
        </w:tc>
      </w:tr>
      <w:tr w:rsidR="003A0CC5" w14:paraId="1E97DC52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17341EB7" w:rsidR="003A0CC5" w:rsidRPr="003F4E70" w:rsidRDefault="003A0CC5" w:rsidP="00BC484D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9340EF" w:rsidRPr="009340EF">
              <w:rPr>
                <w:color w:val="000000"/>
              </w:rPr>
              <w:t>1476292.81</w:t>
            </w:r>
            <w:r w:rsidR="009340EF">
              <w:rPr>
                <w:color w:val="000000"/>
              </w:rPr>
              <w:t xml:space="preserve"> </w:t>
            </w:r>
            <w:r>
              <w:t>руб.</w:t>
            </w: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38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731413D4" w:rsidR="003A0CC5" w:rsidRDefault="003A0CC5" w:rsidP="003A0CC5">
            <w:pPr>
              <w:pStyle w:val="ConsPlusNormal"/>
              <w:spacing w:after="120"/>
            </w:pPr>
            <w:r>
              <w:t xml:space="preserve">3. Стоимость чистых активов паевого инвестиционного фонда </w:t>
            </w:r>
            <w:r w:rsidR="009340EF" w:rsidRPr="009340EF">
              <w:t>591 080 459.85</w:t>
            </w:r>
            <w:r w:rsidR="009340EF">
              <w:t xml:space="preserve"> </w:t>
            </w:r>
            <w:r w:rsidRPr="001962E0">
              <w:t>р</w:t>
            </w:r>
            <w:r>
              <w:t>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5A334B95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B86502">
        <w:tblPrEx>
          <w:tblBorders>
            <w:insideV w:val="nil"/>
          </w:tblBorders>
        </w:tblPrEx>
        <w:trPr>
          <w:trHeight w:val="1880"/>
        </w:trPr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3A0CC5" w:rsidRDefault="003A0CC5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9D15D2">
              <w:rPr>
                <w:spacing w:val="-12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3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3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4D7AF7">
              <w:t>Комиссии, оплачиваемые каждый год</w:t>
            </w:r>
          </w:p>
        </w:tc>
      </w:tr>
      <w:tr w:rsidR="00100532" w14:paraId="17764E8A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7443A9F" w:rsidR="00BD0DC3" w:rsidRDefault="00CD3D1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 w:rsidR="005C235E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F89B3FC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0CABCA9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100532" w14:paraId="746FE8D3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B86502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63BDCD45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</w:p>
        </w:tc>
      </w:tr>
      <w:tr w:rsidR="00A25CC8" w14:paraId="5E8759DE" w14:textId="77777777" w:rsidTr="003C0FA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77777777" w:rsidR="00DF7B64" w:rsidRDefault="00DF7B64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B86502">
        <w:tblPrEx>
          <w:tblBorders>
            <w:insideV w:val="nil"/>
          </w:tblBorders>
        </w:tblPrEx>
        <w:trPr>
          <w:trHeight w:val="7195"/>
        </w:trPr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4D7AF7">
              <w:rPr>
                <w:spacing w:val="-8"/>
              </w:rPr>
              <w:t>10000 рублей.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1DFF853" w14:textId="77777777" w:rsidR="007E7B26" w:rsidRDefault="007E7B26" w:rsidP="007E7B26">
            <w:pPr>
              <w:pStyle w:val="ConsPlusNormal"/>
              <w:spacing w:after="120"/>
              <w:jc w:val="both"/>
            </w:pPr>
            <w:r w:rsidRPr="007F4362">
              <w:rPr>
                <w:spacing w:val="-8"/>
              </w:rPr>
              <w:t>2. Правила доверительного</w:t>
            </w:r>
            <w:r>
              <w:t xml:space="preserve"> управления паевым инвестиционным фондом </w:t>
            </w:r>
            <w:r w:rsidRPr="003B1524">
              <w:rPr>
                <w:spacing w:val="-8"/>
              </w:rPr>
              <w:t>зарегистрированы за № 0645-</w:t>
            </w:r>
            <w:r w:rsidRPr="008A25EF">
              <w:t>94120472</w:t>
            </w:r>
            <w:r w:rsidRPr="008A25EF" w:rsidDel="008A25EF">
              <w:t xml:space="preserve"> </w:t>
            </w:r>
            <w:r>
              <w:t xml:space="preserve">от </w:t>
            </w:r>
            <w:r w:rsidRPr="005C235E">
              <w:t>2</w:t>
            </w:r>
            <w:r>
              <w:t>6</w:t>
            </w:r>
            <w:r w:rsidRPr="005C235E">
              <w:t>.</w:t>
            </w:r>
            <w:r>
              <w:t>10</w:t>
            </w:r>
            <w:r w:rsidRPr="005C235E">
              <w:t>.</w:t>
            </w:r>
            <w:r>
              <w:t xml:space="preserve">2006 </w:t>
            </w:r>
            <w:r w:rsidRPr="00DB54F1">
              <w:t>г.</w:t>
            </w:r>
          </w:p>
          <w:p w14:paraId="098F79A3" w14:textId="68467C84" w:rsidR="007E7B26" w:rsidRDefault="007E7B26" w:rsidP="003E5D2C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Pr="005C235E">
              <w:t>08.11.2006</w:t>
            </w:r>
            <w:r>
              <w:t xml:space="preserve"> г.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t xml:space="preserve">4.  </w:t>
            </w:r>
            <w:r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Pr="009340EF">
              <w:rPr>
                <w:color w:val="0000FF"/>
              </w:rPr>
              <w:t>www.capital-am.ru</w:t>
            </w:r>
            <w:r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562933C8" w:rsidR="007E7B26" w:rsidRDefault="007E7B26" w:rsidP="007E7B26">
            <w:pPr>
              <w:pStyle w:val="ConsPlusNormal"/>
              <w:spacing w:after="120"/>
              <w:jc w:val="both"/>
            </w:pPr>
            <w:r>
              <w:t xml:space="preserve">5. </w:t>
            </w:r>
            <w:r w:rsidRPr="006A60DD">
              <w:t xml:space="preserve">АО </w:t>
            </w:r>
            <w:r w:rsidR="008351BC" w:rsidRPr="006A60DD">
              <w:t>«Управляющая компания «Мой Капитал»</w:t>
            </w:r>
            <w:r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Pr="006A60DD">
              <w:t xml:space="preserve"> выдана Федеральной службой по финансовым рынкам без ограничения срока</w:t>
            </w:r>
            <w:r>
              <w:t xml:space="preserve">. </w:t>
            </w:r>
          </w:p>
          <w:p w14:paraId="3BD985C2" w14:textId="77777777" w:rsidR="007E7B26" w:rsidRPr="00E25C6F" w:rsidRDefault="007E7B26" w:rsidP="007E7B26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Pr="00ED6A57">
              <w:rPr>
                <w:color w:val="0000FF"/>
              </w:rPr>
              <w:t>https://sdkgarant.ru/</w:t>
            </w:r>
            <w:r w:rsidRPr="00E25C6F">
              <w:t>.</w:t>
            </w:r>
          </w:p>
          <w:p w14:paraId="22ED3CB8" w14:textId="18173491" w:rsidR="007E7B26" w:rsidRDefault="007E7B26" w:rsidP="007E7B26">
            <w:pPr>
              <w:pStyle w:val="ConsPlusNormal"/>
              <w:spacing w:after="120"/>
              <w:jc w:val="both"/>
            </w:pPr>
            <w:r w:rsidRPr="00E25C6F">
              <w:t xml:space="preserve">7.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Pr="00ED6A57">
              <w:rPr>
                <w:color w:val="0000FF"/>
              </w:rPr>
              <w:t>https://sdkgarant.ru/</w:t>
            </w:r>
            <w:r w:rsidRPr="00E25C6F">
              <w:t>.</w:t>
            </w:r>
          </w:p>
          <w:p w14:paraId="2D8A6E0E" w14:textId="023F1F23" w:rsidR="007E7B26" w:rsidRDefault="007E7B26" w:rsidP="0026361A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3D1292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A6740"/>
    <w:rsid w:val="000C7E6D"/>
    <w:rsid w:val="000D0CDD"/>
    <w:rsid w:val="000E62A1"/>
    <w:rsid w:val="00100532"/>
    <w:rsid w:val="00102EE3"/>
    <w:rsid w:val="00127E8B"/>
    <w:rsid w:val="001536A5"/>
    <w:rsid w:val="00166B18"/>
    <w:rsid w:val="001962E0"/>
    <w:rsid w:val="001A1128"/>
    <w:rsid w:val="001C6982"/>
    <w:rsid w:val="001D11FC"/>
    <w:rsid w:val="001D1A0D"/>
    <w:rsid w:val="001D6E66"/>
    <w:rsid w:val="001E495B"/>
    <w:rsid w:val="002164A1"/>
    <w:rsid w:val="002666BB"/>
    <w:rsid w:val="00283F81"/>
    <w:rsid w:val="002D2CD5"/>
    <w:rsid w:val="00302BE5"/>
    <w:rsid w:val="0032790F"/>
    <w:rsid w:val="00363908"/>
    <w:rsid w:val="00363E55"/>
    <w:rsid w:val="00375CD1"/>
    <w:rsid w:val="003814D6"/>
    <w:rsid w:val="003A0CC5"/>
    <w:rsid w:val="003B1524"/>
    <w:rsid w:val="003C0FA6"/>
    <w:rsid w:val="003C28FB"/>
    <w:rsid w:val="003D1292"/>
    <w:rsid w:val="003F4E70"/>
    <w:rsid w:val="00405760"/>
    <w:rsid w:val="004210A1"/>
    <w:rsid w:val="00424723"/>
    <w:rsid w:val="00443410"/>
    <w:rsid w:val="00460603"/>
    <w:rsid w:val="00496BC5"/>
    <w:rsid w:val="004A0AA2"/>
    <w:rsid w:val="004C7320"/>
    <w:rsid w:val="004D7AF7"/>
    <w:rsid w:val="0050713A"/>
    <w:rsid w:val="00507941"/>
    <w:rsid w:val="00524897"/>
    <w:rsid w:val="005263C0"/>
    <w:rsid w:val="00540F5B"/>
    <w:rsid w:val="005476FC"/>
    <w:rsid w:val="00555F15"/>
    <w:rsid w:val="005C235E"/>
    <w:rsid w:val="00605FB1"/>
    <w:rsid w:val="00626CFD"/>
    <w:rsid w:val="00632D59"/>
    <w:rsid w:val="0067530E"/>
    <w:rsid w:val="006840F2"/>
    <w:rsid w:val="006A57B1"/>
    <w:rsid w:val="006A60DD"/>
    <w:rsid w:val="006E68A0"/>
    <w:rsid w:val="00710338"/>
    <w:rsid w:val="00731BE9"/>
    <w:rsid w:val="00733C8F"/>
    <w:rsid w:val="00740A9B"/>
    <w:rsid w:val="007435BF"/>
    <w:rsid w:val="00751296"/>
    <w:rsid w:val="0077738F"/>
    <w:rsid w:val="00793C2C"/>
    <w:rsid w:val="007A4F90"/>
    <w:rsid w:val="007C3D19"/>
    <w:rsid w:val="007D0370"/>
    <w:rsid w:val="007E409F"/>
    <w:rsid w:val="007E7B26"/>
    <w:rsid w:val="007F4362"/>
    <w:rsid w:val="00801BC2"/>
    <w:rsid w:val="00811CB7"/>
    <w:rsid w:val="008170E7"/>
    <w:rsid w:val="008351BC"/>
    <w:rsid w:val="0087655A"/>
    <w:rsid w:val="008A25EF"/>
    <w:rsid w:val="008A67CB"/>
    <w:rsid w:val="009129A2"/>
    <w:rsid w:val="009340EF"/>
    <w:rsid w:val="009461D9"/>
    <w:rsid w:val="0095699C"/>
    <w:rsid w:val="00963EF4"/>
    <w:rsid w:val="0097774B"/>
    <w:rsid w:val="009A5A6D"/>
    <w:rsid w:val="009B22C0"/>
    <w:rsid w:val="009D15D2"/>
    <w:rsid w:val="00A06100"/>
    <w:rsid w:val="00A25CC8"/>
    <w:rsid w:val="00A350AB"/>
    <w:rsid w:val="00A45F91"/>
    <w:rsid w:val="00A474BE"/>
    <w:rsid w:val="00A53851"/>
    <w:rsid w:val="00A74CCB"/>
    <w:rsid w:val="00A9005D"/>
    <w:rsid w:val="00A914E1"/>
    <w:rsid w:val="00AE3F59"/>
    <w:rsid w:val="00B82E82"/>
    <w:rsid w:val="00B86502"/>
    <w:rsid w:val="00BB33AD"/>
    <w:rsid w:val="00BC484D"/>
    <w:rsid w:val="00BD0DC3"/>
    <w:rsid w:val="00BD702A"/>
    <w:rsid w:val="00C04C8F"/>
    <w:rsid w:val="00C20F33"/>
    <w:rsid w:val="00C41E25"/>
    <w:rsid w:val="00C557A4"/>
    <w:rsid w:val="00CD3D17"/>
    <w:rsid w:val="00CF1684"/>
    <w:rsid w:val="00D06064"/>
    <w:rsid w:val="00D2358C"/>
    <w:rsid w:val="00D578CB"/>
    <w:rsid w:val="00D85FB6"/>
    <w:rsid w:val="00D9265A"/>
    <w:rsid w:val="00DA6772"/>
    <w:rsid w:val="00DB54F1"/>
    <w:rsid w:val="00DF4A65"/>
    <w:rsid w:val="00DF7B64"/>
    <w:rsid w:val="00E25C6F"/>
    <w:rsid w:val="00E75BE8"/>
    <w:rsid w:val="00E929B8"/>
    <w:rsid w:val="00EA73DB"/>
    <w:rsid w:val="00ED6A57"/>
    <w:rsid w:val="00F005F1"/>
    <w:rsid w:val="00F11FE1"/>
    <w:rsid w:val="00F13CED"/>
    <w:rsid w:val="00FC5169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79C3-CC13-4A4F-9993-0FD0F1B9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83</cp:revision>
  <dcterms:created xsi:type="dcterms:W3CDTF">2021-10-07T08:46:00Z</dcterms:created>
  <dcterms:modified xsi:type="dcterms:W3CDTF">2022-07-06T07:17:00Z</dcterms:modified>
</cp:coreProperties>
</file>