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3C34C9">
        <w:rPr>
          <w:rFonts w:cstheme="minorHAnsi"/>
        </w:rPr>
        <w:t>31</w:t>
      </w:r>
      <w:r w:rsidRPr="0021055B">
        <w:rPr>
          <w:rFonts w:cstheme="minorHAnsi"/>
        </w:rPr>
        <w:t>.</w:t>
      </w:r>
      <w:r w:rsidR="00753E33">
        <w:rPr>
          <w:rFonts w:cstheme="minorHAnsi"/>
        </w:rPr>
        <w:t>0</w:t>
      </w:r>
      <w:r w:rsidR="003C34C9">
        <w:rPr>
          <w:rFonts w:cstheme="minorHAnsi"/>
        </w:rPr>
        <w:t>3</w:t>
      </w:r>
      <w:r w:rsidRPr="0021055B">
        <w:rPr>
          <w:rFonts w:cstheme="minorHAnsi"/>
        </w:rPr>
        <w:t>.202</w:t>
      </w:r>
      <w:r w:rsidR="00753E3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CE54CA">
        <w:t>1</w:t>
      </w:r>
      <w:r w:rsidR="002B297E">
        <w:t>1</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A347FF" w:rsidRDefault="001B1042" w:rsidP="00E70C6A">
            <w:pPr>
              <w:spacing w:line="276" w:lineRule="auto"/>
              <w:jc w:val="center"/>
              <w:rPr>
                <w:rFonts w:cstheme="minorHAnsi"/>
              </w:rPr>
            </w:pPr>
            <w:r>
              <w:rPr>
                <w:rFonts w:cstheme="minorHAnsi"/>
              </w:rPr>
              <w:t>55</w:t>
            </w:r>
            <w:r w:rsidR="002477D0">
              <w:rPr>
                <w:rFonts w:cstheme="minorHAnsi"/>
              </w:rPr>
              <w:t>,</w:t>
            </w:r>
            <w:r w:rsidR="00E70C6A">
              <w:rPr>
                <w:rFonts w:cstheme="minorHAnsi"/>
              </w:rPr>
              <w:t>61</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A347FF" w:rsidRDefault="006723E4" w:rsidP="00E70C6A">
            <w:pPr>
              <w:spacing w:line="276" w:lineRule="auto"/>
              <w:jc w:val="center"/>
              <w:rPr>
                <w:rFonts w:cstheme="minorHAnsi"/>
              </w:rPr>
            </w:pPr>
            <w:r>
              <w:rPr>
                <w:rFonts w:cstheme="minorHAnsi"/>
                <w:lang w:val="en-US"/>
              </w:rPr>
              <w:t>30</w:t>
            </w:r>
            <w:r w:rsidR="002477D0">
              <w:rPr>
                <w:rFonts w:cstheme="minorHAnsi"/>
              </w:rPr>
              <w:t>,</w:t>
            </w:r>
            <w:r w:rsidR="00A607A9">
              <w:rPr>
                <w:rFonts w:cstheme="minorHAnsi"/>
              </w:rPr>
              <w:t>2</w:t>
            </w:r>
            <w:r w:rsidR="00E70C6A">
              <w:rPr>
                <w:rFonts w:cstheme="minorHAnsi"/>
              </w:rPr>
              <w:t>7</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903160" w:rsidRDefault="001B1042" w:rsidP="00E70C6A">
            <w:pPr>
              <w:spacing w:line="276" w:lineRule="auto"/>
              <w:jc w:val="center"/>
              <w:rPr>
                <w:rFonts w:cstheme="minorHAnsi"/>
              </w:rPr>
            </w:pPr>
            <w:r>
              <w:rPr>
                <w:rFonts w:cstheme="minorHAnsi"/>
              </w:rPr>
              <w:t>9</w:t>
            </w:r>
            <w:r w:rsidR="002477D0">
              <w:rPr>
                <w:rFonts w:cstheme="minorHAnsi"/>
              </w:rPr>
              <w:t>,</w:t>
            </w:r>
            <w:r w:rsidR="00A607A9">
              <w:rPr>
                <w:rFonts w:cstheme="minorHAnsi"/>
              </w:rPr>
              <w:t>8</w:t>
            </w:r>
            <w:r w:rsidR="00E70C6A">
              <w:rPr>
                <w:rFonts w:cstheme="minorHAnsi"/>
              </w:rPr>
              <w:t>7</w:t>
            </w:r>
          </w:p>
        </w:tc>
      </w:tr>
      <w:tr w:rsidR="002477D0" w:rsidRPr="001833AE" w:rsidTr="007C4F26">
        <w:tc>
          <w:tcPr>
            <w:tcW w:w="6516" w:type="dxa"/>
            <w:shd w:val="clear" w:color="auto" w:fill="auto"/>
          </w:tcPr>
          <w:p w:rsidR="002477D0" w:rsidRDefault="0010006B" w:rsidP="00C676EC">
            <w:pPr>
              <w:rPr>
                <w:rFonts w:cstheme="minorHAnsi"/>
              </w:rPr>
            </w:pPr>
            <w:r>
              <w:rPr>
                <w:rFonts w:cstheme="minorHAnsi"/>
              </w:rPr>
              <w:t xml:space="preserve">Депозит АО </w:t>
            </w:r>
            <w:r w:rsidRPr="00816C0E">
              <w:rPr>
                <w:rFonts w:cstheme="minorHAnsi"/>
              </w:rPr>
              <w:t>«АЛЬФА-БАНК»</w:t>
            </w:r>
          </w:p>
        </w:tc>
        <w:tc>
          <w:tcPr>
            <w:tcW w:w="2829" w:type="dxa"/>
            <w:shd w:val="clear" w:color="auto" w:fill="auto"/>
          </w:tcPr>
          <w:p w:rsidR="002477D0" w:rsidRPr="00A347FF" w:rsidRDefault="0010006B" w:rsidP="00E70C6A">
            <w:pPr>
              <w:spacing w:line="276" w:lineRule="auto"/>
              <w:jc w:val="center"/>
              <w:rPr>
                <w:rFonts w:cstheme="minorHAnsi"/>
              </w:rPr>
            </w:pPr>
            <w:r>
              <w:rPr>
                <w:rFonts w:cstheme="minorHAnsi"/>
              </w:rPr>
              <w:t>1</w:t>
            </w:r>
            <w:r w:rsidR="002477D0">
              <w:rPr>
                <w:rFonts w:cstheme="minorHAnsi"/>
              </w:rPr>
              <w:t>,</w:t>
            </w:r>
            <w:r w:rsidR="00E70C6A">
              <w:rPr>
                <w:rFonts w:cstheme="minorHAnsi"/>
              </w:rPr>
              <w:t>01</w:t>
            </w:r>
          </w:p>
        </w:tc>
      </w:tr>
      <w:tr w:rsidR="00903160" w:rsidRPr="001833AE" w:rsidTr="007C4F26">
        <w:tc>
          <w:tcPr>
            <w:tcW w:w="6516" w:type="dxa"/>
            <w:shd w:val="clear" w:color="auto" w:fill="auto"/>
          </w:tcPr>
          <w:p w:rsidR="00903160" w:rsidRDefault="00E70C6A" w:rsidP="00903160">
            <w:pPr>
              <w:rPr>
                <w:rFonts w:cstheme="minorHAnsi"/>
              </w:rPr>
            </w:pPr>
            <w:r>
              <w:rPr>
                <w:rFonts w:cstheme="minorHAnsi"/>
              </w:rPr>
              <w:t>Денежные средства на расчетных счетах</w:t>
            </w:r>
          </w:p>
        </w:tc>
        <w:tc>
          <w:tcPr>
            <w:tcW w:w="2829" w:type="dxa"/>
            <w:shd w:val="clear" w:color="auto" w:fill="auto"/>
          </w:tcPr>
          <w:p w:rsidR="00903160" w:rsidRPr="00903160" w:rsidRDefault="00E70C6A" w:rsidP="00E70C6A">
            <w:pPr>
              <w:spacing w:line="276" w:lineRule="auto"/>
              <w:jc w:val="center"/>
              <w:rPr>
                <w:rFonts w:cstheme="minorHAnsi"/>
              </w:rPr>
            </w:pPr>
            <w:r>
              <w:rPr>
                <w:rFonts w:cstheme="minorHAnsi"/>
              </w:rPr>
              <w:t>1</w:t>
            </w:r>
            <w:r w:rsidR="00903160">
              <w:rPr>
                <w:rFonts w:cstheme="minorHAnsi"/>
              </w:rPr>
              <w:t>,</w:t>
            </w:r>
            <w:r>
              <w:rPr>
                <w:rFonts w:cstheme="minorHAnsi"/>
              </w:rPr>
              <w:t>91</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820A8B">
        <w:tblPrEx>
          <w:tblCellMar>
            <w:left w:w="108" w:type="dxa"/>
            <w:right w:w="108" w:type="dxa"/>
          </w:tblCellMar>
        </w:tblPrEx>
        <w:trPr>
          <w:trHeight w:val="1074"/>
        </w:trPr>
        <w:tc>
          <w:tcPr>
            <w:tcW w:w="4365" w:type="dxa"/>
            <w:vMerge w:val="restart"/>
            <w:vAlign w:val="center"/>
          </w:tcPr>
          <w:p w:rsidR="00BE1601" w:rsidRPr="000B107A" w:rsidRDefault="00820A8B" w:rsidP="007C4F26">
            <w:pPr>
              <w:pStyle w:val="ConsPlusNormal"/>
              <w:jc w:val="center"/>
              <w:rPr>
                <w:rFonts w:asciiTheme="minorHAnsi" w:hAnsiTheme="minorHAnsi" w:cstheme="minorHAnsi"/>
                <w:lang w:val="en-US"/>
              </w:rPr>
            </w:pPr>
            <w:r>
              <w:rPr>
                <w:noProof/>
              </w:rPr>
              <w:drawing>
                <wp:inline distT="0" distB="0" distL="0" distR="0" wp14:anchorId="5F52383D" wp14:editId="0B5FBD54">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D45DB7" w:rsidRDefault="00BE1601" w:rsidP="00D45DB7">
            <w:pPr>
              <w:pStyle w:val="ConsPlusNormal"/>
              <w:ind w:left="283"/>
              <w:rPr>
                <w:rFonts w:asciiTheme="minorHAnsi" w:hAnsiTheme="minorHAnsi" w:cstheme="minorHAnsi"/>
              </w:rPr>
            </w:pPr>
            <w:r w:rsidRPr="00797751">
              <w:rPr>
                <w:rFonts w:asciiTheme="minorHAnsi" w:hAnsiTheme="minorHAnsi" w:cstheme="minorHAnsi"/>
              </w:rPr>
              <w:t>инфляции</w:t>
            </w:r>
            <w:r w:rsidR="00D45DB7">
              <w:rPr>
                <w:rFonts w:asciiTheme="minorHAnsi" w:hAnsiTheme="minorHAnsi" w:cstheme="minorHAnsi"/>
              </w:rPr>
              <w:t>*</w:t>
            </w:r>
          </w:p>
          <w:p w:rsidR="00BE1601" w:rsidRPr="00797751" w:rsidRDefault="00D45DB7" w:rsidP="003C34C9">
            <w:pPr>
              <w:pStyle w:val="ConsPlusNormal"/>
              <w:rPr>
                <w:rFonts w:asciiTheme="minorHAnsi" w:hAnsiTheme="minorHAnsi" w:cstheme="minorHAnsi"/>
              </w:rPr>
            </w:pPr>
            <w:r>
              <w:rPr>
                <w:rFonts w:cstheme="minorHAnsi"/>
                <w:sz w:val="12"/>
                <w:szCs w:val="12"/>
              </w:rPr>
              <w:t xml:space="preserve">*(использованы данные за </w:t>
            </w:r>
            <w:r w:rsidR="003C34C9">
              <w:rPr>
                <w:rFonts w:cstheme="minorHAnsi"/>
                <w:sz w:val="12"/>
                <w:szCs w:val="12"/>
              </w:rPr>
              <w:t>февраль</w:t>
            </w:r>
            <w:r>
              <w:rPr>
                <w:rFonts w:cstheme="minorHAnsi"/>
                <w:sz w:val="12"/>
                <w:szCs w:val="12"/>
              </w:rPr>
              <w:t xml:space="preserve"> 2025)</w:t>
            </w:r>
          </w:p>
        </w:tc>
      </w:tr>
      <w:tr w:rsidR="00C559A4" w:rsidRPr="00C50091" w:rsidTr="007C4F26">
        <w:tc>
          <w:tcPr>
            <w:tcW w:w="4365" w:type="dxa"/>
            <w:vMerge/>
          </w:tcPr>
          <w:p w:rsidR="00C559A4" w:rsidRPr="003B455E" w:rsidRDefault="00C559A4" w:rsidP="00C559A4">
            <w:pPr>
              <w:rPr>
                <w:rFonts w:cstheme="minorHAnsi"/>
              </w:rPr>
            </w:pPr>
            <w:bookmarkStart w:id="0" w:name="_GoBack" w:colFirst="3" w:colLast="3"/>
          </w:p>
        </w:tc>
        <w:tc>
          <w:tcPr>
            <w:tcW w:w="1380" w:type="dxa"/>
            <w:vAlign w:val="bottom"/>
          </w:tcPr>
          <w:p w:rsidR="00C559A4" w:rsidRPr="00797751" w:rsidRDefault="00C559A4" w:rsidP="00C559A4">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C559A4" w:rsidRDefault="00C559A4" w:rsidP="00C559A4">
            <w:pPr>
              <w:jc w:val="center"/>
              <w:rPr>
                <w:rFonts w:ascii="Arial Narrow" w:hAnsi="Arial Narrow" w:cs="Calibri"/>
                <w:color w:val="000000"/>
                <w:sz w:val="20"/>
                <w:szCs w:val="20"/>
              </w:rPr>
            </w:pPr>
            <w:r>
              <w:rPr>
                <w:rFonts w:ascii="Arial Narrow" w:hAnsi="Arial Narrow" w:cs="Calibri"/>
                <w:color w:val="000000"/>
                <w:sz w:val="20"/>
                <w:szCs w:val="20"/>
              </w:rPr>
              <w:t>6,57%</w:t>
            </w:r>
          </w:p>
        </w:tc>
        <w:tc>
          <w:tcPr>
            <w:tcW w:w="1705" w:type="dxa"/>
            <w:vAlign w:val="bottom"/>
          </w:tcPr>
          <w:p w:rsidR="00C559A4" w:rsidRDefault="00C559A4" w:rsidP="00C559A4">
            <w:pPr>
              <w:jc w:val="right"/>
              <w:rPr>
                <w:rFonts w:ascii="Arial Narrow" w:hAnsi="Arial Narrow" w:cs="Calibri"/>
                <w:color w:val="000000"/>
                <w:sz w:val="20"/>
                <w:szCs w:val="20"/>
              </w:rPr>
            </w:pPr>
            <w:r>
              <w:rPr>
                <w:rFonts w:ascii="Arial Narrow" w:hAnsi="Arial Narrow" w:cs="Calibri"/>
                <w:color w:val="000000"/>
                <w:sz w:val="20"/>
                <w:szCs w:val="20"/>
              </w:rPr>
              <w:t>5,76%</w:t>
            </w:r>
          </w:p>
        </w:tc>
      </w:tr>
      <w:tr w:rsidR="00C559A4" w:rsidRPr="00C50091" w:rsidTr="007C4F26">
        <w:tc>
          <w:tcPr>
            <w:tcW w:w="4365" w:type="dxa"/>
            <w:vMerge/>
          </w:tcPr>
          <w:p w:rsidR="00C559A4" w:rsidRPr="003B455E" w:rsidRDefault="00C559A4" w:rsidP="00C559A4">
            <w:pPr>
              <w:rPr>
                <w:rFonts w:cstheme="minorHAnsi"/>
              </w:rPr>
            </w:pPr>
          </w:p>
        </w:tc>
        <w:tc>
          <w:tcPr>
            <w:tcW w:w="1380" w:type="dxa"/>
            <w:vAlign w:val="bottom"/>
          </w:tcPr>
          <w:p w:rsidR="00C559A4" w:rsidRPr="00797751" w:rsidRDefault="00C559A4" w:rsidP="00C559A4">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C559A4" w:rsidRDefault="00C559A4" w:rsidP="00C559A4">
            <w:pPr>
              <w:jc w:val="center"/>
              <w:rPr>
                <w:rFonts w:ascii="Arial Narrow" w:hAnsi="Arial Narrow" w:cs="Calibri"/>
                <w:color w:val="000000"/>
                <w:sz w:val="20"/>
                <w:szCs w:val="20"/>
              </w:rPr>
            </w:pPr>
            <w:r>
              <w:rPr>
                <w:rFonts w:ascii="Arial Narrow" w:hAnsi="Arial Narrow" w:cs="Calibri"/>
                <w:color w:val="000000"/>
                <w:sz w:val="20"/>
                <w:szCs w:val="20"/>
              </w:rPr>
              <w:t>8,86%</w:t>
            </w:r>
          </w:p>
        </w:tc>
        <w:tc>
          <w:tcPr>
            <w:tcW w:w="1705" w:type="dxa"/>
            <w:vAlign w:val="bottom"/>
          </w:tcPr>
          <w:p w:rsidR="00C559A4" w:rsidRDefault="00C559A4" w:rsidP="00C559A4">
            <w:pPr>
              <w:jc w:val="right"/>
              <w:rPr>
                <w:rFonts w:ascii="Arial Narrow" w:hAnsi="Arial Narrow" w:cs="Calibri"/>
                <w:color w:val="000000"/>
                <w:sz w:val="20"/>
                <w:szCs w:val="20"/>
              </w:rPr>
            </w:pPr>
            <w:r>
              <w:rPr>
                <w:rFonts w:ascii="Arial Narrow" w:hAnsi="Arial Narrow" w:cs="Calibri"/>
                <w:color w:val="000000"/>
                <w:sz w:val="20"/>
                <w:szCs w:val="20"/>
              </w:rPr>
              <w:t>5,47%</w:t>
            </w:r>
          </w:p>
        </w:tc>
      </w:tr>
      <w:tr w:rsidR="00C559A4" w:rsidRPr="00C50091" w:rsidTr="007C4F26">
        <w:tc>
          <w:tcPr>
            <w:tcW w:w="4365" w:type="dxa"/>
            <w:vMerge/>
          </w:tcPr>
          <w:p w:rsidR="00C559A4" w:rsidRPr="003B455E" w:rsidRDefault="00C559A4" w:rsidP="00C559A4">
            <w:pPr>
              <w:rPr>
                <w:rFonts w:cstheme="minorHAnsi"/>
              </w:rPr>
            </w:pPr>
          </w:p>
        </w:tc>
        <w:tc>
          <w:tcPr>
            <w:tcW w:w="1380" w:type="dxa"/>
            <w:vAlign w:val="bottom"/>
          </w:tcPr>
          <w:p w:rsidR="00C559A4" w:rsidRPr="00797751" w:rsidRDefault="00C559A4" w:rsidP="00C559A4">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C559A4" w:rsidRDefault="00C559A4" w:rsidP="00C559A4">
            <w:pPr>
              <w:jc w:val="center"/>
              <w:rPr>
                <w:rFonts w:ascii="Arial Narrow" w:hAnsi="Arial Narrow" w:cs="Calibri"/>
                <w:color w:val="000000"/>
                <w:sz w:val="20"/>
                <w:szCs w:val="20"/>
              </w:rPr>
            </w:pPr>
            <w:r>
              <w:rPr>
                <w:rFonts w:ascii="Arial Narrow" w:hAnsi="Arial Narrow" w:cs="Calibri"/>
                <w:color w:val="000000"/>
                <w:sz w:val="20"/>
                <w:szCs w:val="20"/>
              </w:rPr>
              <w:t>11,25%</w:t>
            </w:r>
          </w:p>
        </w:tc>
        <w:tc>
          <w:tcPr>
            <w:tcW w:w="1705" w:type="dxa"/>
            <w:vAlign w:val="bottom"/>
          </w:tcPr>
          <w:p w:rsidR="00C559A4" w:rsidRDefault="00C559A4" w:rsidP="00C559A4">
            <w:pPr>
              <w:jc w:val="right"/>
              <w:rPr>
                <w:rFonts w:ascii="Arial Narrow" w:hAnsi="Arial Narrow" w:cs="Calibri"/>
                <w:color w:val="000000"/>
                <w:sz w:val="20"/>
                <w:szCs w:val="20"/>
              </w:rPr>
            </w:pPr>
            <w:r>
              <w:rPr>
                <w:rFonts w:ascii="Arial Narrow" w:hAnsi="Arial Narrow" w:cs="Calibri"/>
                <w:color w:val="000000"/>
                <w:sz w:val="20"/>
                <w:szCs w:val="20"/>
              </w:rPr>
              <w:t>5,08%</w:t>
            </w:r>
          </w:p>
        </w:tc>
      </w:tr>
      <w:tr w:rsidR="00C559A4" w:rsidRPr="00C50091" w:rsidTr="00877122">
        <w:tc>
          <w:tcPr>
            <w:tcW w:w="4365" w:type="dxa"/>
            <w:vMerge/>
          </w:tcPr>
          <w:p w:rsidR="00C559A4" w:rsidRPr="003B455E" w:rsidRDefault="00C559A4" w:rsidP="00C559A4">
            <w:pPr>
              <w:rPr>
                <w:rFonts w:cstheme="minorHAnsi"/>
              </w:rPr>
            </w:pPr>
          </w:p>
        </w:tc>
        <w:tc>
          <w:tcPr>
            <w:tcW w:w="1380" w:type="dxa"/>
            <w:vAlign w:val="bottom"/>
          </w:tcPr>
          <w:p w:rsidR="00C559A4" w:rsidRPr="00797751" w:rsidRDefault="00C559A4" w:rsidP="00C559A4">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vAlign w:val="bottom"/>
          </w:tcPr>
          <w:p w:rsidR="00C559A4" w:rsidRDefault="00C559A4" w:rsidP="00C559A4">
            <w:pPr>
              <w:jc w:val="center"/>
              <w:rPr>
                <w:rFonts w:ascii="Arial Narrow" w:hAnsi="Arial Narrow" w:cs="Calibri"/>
                <w:color w:val="000000"/>
                <w:sz w:val="20"/>
                <w:szCs w:val="20"/>
              </w:rPr>
            </w:pPr>
            <w:r>
              <w:rPr>
                <w:rFonts w:ascii="Arial Narrow" w:hAnsi="Arial Narrow" w:cs="Calibri"/>
                <w:color w:val="000000"/>
                <w:sz w:val="20"/>
                <w:szCs w:val="20"/>
              </w:rPr>
              <w:t>15,64%</w:t>
            </w:r>
          </w:p>
        </w:tc>
        <w:tc>
          <w:tcPr>
            <w:tcW w:w="1705" w:type="dxa"/>
            <w:vAlign w:val="bottom"/>
          </w:tcPr>
          <w:p w:rsidR="00C559A4" w:rsidRDefault="00C559A4" w:rsidP="00C559A4">
            <w:pPr>
              <w:jc w:val="right"/>
              <w:rPr>
                <w:rFonts w:ascii="Arial Narrow" w:hAnsi="Arial Narrow" w:cs="Calibri"/>
                <w:color w:val="000000"/>
                <w:sz w:val="20"/>
                <w:szCs w:val="20"/>
              </w:rPr>
            </w:pPr>
            <w:r>
              <w:rPr>
                <w:rFonts w:ascii="Arial Narrow" w:hAnsi="Arial Narrow" w:cs="Calibri"/>
                <w:color w:val="000000"/>
                <w:sz w:val="20"/>
                <w:szCs w:val="20"/>
              </w:rPr>
              <w:t>5,58%</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820A8B">
        <w:rPr>
          <w:rFonts w:cstheme="minorHAnsi"/>
        </w:rPr>
        <w:t>ности и построения диаграммы за</w:t>
      </w:r>
      <w:r>
        <w:rPr>
          <w:rFonts w:cstheme="minorHAnsi"/>
        </w:rPr>
        <w:t xml:space="preserve">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E70C6A">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E70C6A" w:rsidRPr="00E70C6A">
        <w:rPr>
          <w:rFonts w:cstheme="minorHAnsi"/>
        </w:rPr>
        <w:t>293 223,08</w:t>
      </w:r>
      <w:r w:rsidR="00E70C6A">
        <w:rPr>
          <w:rFonts w:cstheme="minorHAnsi"/>
        </w:rPr>
        <w:t xml:space="preserve"> </w:t>
      </w:r>
      <w:r w:rsidR="00C676EC">
        <w:rPr>
          <w:rFonts w:cstheme="minorHAnsi"/>
        </w:rPr>
        <w:t>руб</w:t>
      </w:r>
      <w:r w:rsidRPr="00C50091">
        <w:rPr>
          <w:rFonts w:cstheme="minorHAnsi"/>
        </w:rPr>
        <w:t>.</w:t>
      </w:r>
    </w:p>
    <w:p w:rsidR="00BE1601" w:rsidRPr="00C50091" w:rsidRDefault="00BE1601" w:rsidP="00E70C6A">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E70C6A" w:rsidRPr="00E70C6A">
        <w:rPr>
          <w:rFonts w:cstheme="minorHAnsi"/>
        </w:rPr>
        <w:t>1</w:t>
      </w:r>
      <w:r w:rsidR="00E70C6A">
        <w:rPr>
          <w:rFonts w:cstheme="minorHAnsi"/>
        </w:rPr>
        <w:t> </w:t>
      </w:r>
      <w:r w:rsidR="00E70C6A" w:rsidRPr="00E70C6A">
        <w:rPr>
          <w:rFonts w:cstheme="minorHAnsi"/>
        </w:rPr>
        <w:t>527</w:t>
      </w:r>
      <w:r w:rsidR="00E70C6A">
        <w:rPr>
          <w:rFonts w:cstheme="minorHAnsi"/>
        </w:rPr>
        <w:t> </w:t>
      </w:r>
      <w:r w:rsidR="00E70C6A" w:rsidRPr="00E70C6A">
        <w:rPr>
          <w:rFonts w:cstheme="minorHAnsi"/>
        </w:rPr>
        <w:t>985</w:t>
      </w:r>
      <w:r w:rsidR="00E70C6A">
        <w:rPr>
          <w:rFonts w:cstheme="minorHAnsi"/>
        </w:rPr>
        <w:t xml:space="preserve"> </w:t>
      </w:r>
      <w:r w:rsidR="00E70C6A" w:rsidRPr="00E70C6A">
        <w:rPr>
          <w:rFonts w:cstheme="minorHAnsi"/>
        </w:rPr>
        <w:t>477,6</w:t>
      </w:r>
      <w:r w:rsidR="00A607A9">
        <w:rPr>
          <w:rFonts w:cstheme="minorHAnsi"/>
        </w:rPr>
        <w:t xml:space="preserve">0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3C4F"/>
    <w:rsid w:val="000E4E2A"/>
    <w:rsid w:val="0010006B"/>
    <w:rsid w:val="00120850"/>
    <w:rsid w:val="001310A5"/>
    <w:rsid w:val="00160519"/>
    <w:rsid w:val="0018515D"/>
    <w:rsid w:val="001B0F4D"/>
    <w:rsid w:val="001B1042"/>
    <w:rsid w:val="001E4668"/>
    <w:rsid w:val="00236A0E"/>
    <w:rsid w:val="002477D0"/>
    <w:rsid w:val="002B297E"/>
    <w:rsid w:val="00337F3B"/>
    <w:rsid w:val="00361247"/>
    <w:rsid w:val="00380887"/>
    <w:rsid w:val="003A4EF6"/>
    <w:rsid w:val="003C34C9"/>
    <w:rsid w:val="00434E39"/>
    <w:rsid w:val="0045509A"/>
    <w:rsid w:val="00457AB3"/>
    <w:rsid w:val="00475BB0"/>
    <w:rsid w:val="004A5D79"/>
    <w:rsid w:val="004B3975"/>
    <w:rsid w:val="004F3051"/>
    <w:rsid w:val="004F67F7"/>
    <w:rsid w:val="005445C4"/>
    <w:rsid w:val="005552B9"/>
    <w:rsid w:val="00594114"/>
    <w:rsid w:val="00604E77"/>
    <w:rsid w:val="0062387B"/>
    <w:rsid w:val="006723E4"/>
    <w:rsid w:val="0068140A"/>
    <w:rsid w:val="006C5D05"/>
    <w:rsid w:val="006D0053"/>
    <w:rsid w:val="006F4CBB"/>
    <w:rsid w:val="006F6D13"/>
    <w:rsid w:val="00725957"/>
    <w:rsid w:val="00753E33"/>
    <w:rsid w:val="00754E6C"/>
    <w:rsid w:val="00797751"/>
    <w:rsid w:val="00805167"/>
    <w:rsid w:val="008153DD"/>
    <w:rsid w:val="00820A8B"/>
    <w:rsid w:val="008513EC"/>
    <w:rsid w:val="008641B9"/>
    <w:rsid w:val="00867396"/>
    <w:rsid w:val="008B0ABD"/>
    <w:rsid w:val="008C4D9B"/>
    <w:rsid w:val="00903000"/>
    <w:rsid w:val="00903160"/>
    <w:rsid w:val="00983DF3"/>
    <w:rsid w:val="00990901"/>
    <w:rsid w:val="009B3EE7"/>
    <w:rsid w:val="009D23B1"/>
    <w:rsid w:val="009E4A3A"/>
    <w:rsid w:val="00A012C7"/>
    <w:rsid w:val="00A14997"/>
    <w:rsid w:val="00A347FF"/>
    <w:rsid w:val="00A607A9"/>
    <w:rsid w:val="00A722F8"/>
    <w:rsid w:val="00B42568"/>
    <w:rsid w:val="00BC1901"/>
    <w:rsid w:val="00BE1601"/>
    <w:rsid w:val="00BF7362"/>
    <w:rsid w:val="00C321F8"/>
    <w:rsid w:val="00C559A4"/>
    <w:rsid w:val="00C676EC"/>
    <w:rsid w:val="00C76E1B"/>
    <w:rsid w:val="00CB7FAD"/>
    <w:rsid w:val="00CD0318"/>
    <w:rsid w:val="00CD2AD3"/>
    <w:rsid w:val="00CE54CA"/>
    <w:rsid w:val="00D45DB7"/>
    <w:rsid w:val="00DA6C5C"/>
    <w:rsid w:val="00DA72E0"/>
    <w:rsid w:val="00DB7209"/>
    <w:rsid w:val="00DC5315"/>
    <w:rsid w:val="00E36902"/>
    <w:rsid w:val="00E620B1"/>
    <w:rsid w:val="00E704B2"/>
    <w:rsid w:val="00E70C6A"/>
    <w:rsid w:val="00E70E77"/>
    <w:rsid w:val="00EE75D4"/>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 w:id="20905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D29-4437-B1B9-6379C52A64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7.2748875692634968E-2</c:v>
                </c:pt>
                <c:pt idx="1">
                  <c:v>0.10851848077022293</c:v>
                </c:pt>
              </c:numCache>
            </c:numRef>
          </c:val>
          <c:extLst>
            <c:ext xmlns:c16="http://schemas.microsoft.com/office/drawing/2014/chart" uri="{C3380CC4-5D6E-409C-BE32-E72D297353CC}">
              <c16:uniqueId val="{00000001-BD29-4437-B1B9-6379C52A64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67</cp:revision>
  <dcterms:created xsi:type="dcterms:W3CDTF">2023-07-10T11:07:00Z</dcterms:created>
  <dcterms:modified xsi:type="dcterms:W3CDTF">2025-04-04T10:00:00Z</dcterms:modified>
</cp:coreProperties>
</file>