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7E127F" w:rsidTr="00483C6F">
        <w:trPr>
          <w:trHeight w:val="21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DA4D8C" w:rsidRDefault="007E127F" w:rsidP="00DA4D8C">
            <w:pPr>
              <w:pStyle w:val="10"/>
              <w:outlineLvl w:val="0"/>
            </w:pPr>
            <w:r w:rsidRPr="00DA4D8C">
              <w:t>КЛЮЧЕВОЙ ИНФОРМАЦИОННЫЙ ДОКУМЕНТ</w:t>
            </w:r>
          </w:p>
        </w:tc>
      </w:tr>
      <w:tr w:rsidR="00912219" w:rsidTr="00483C6F">
        <w:trPr>
          <w:trHeight w:val="1731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912219" w:rsidRPr="00350CC8" w:rsidRDefault="00912219" w:rsidP="00350CC8">
            <w:pPr>
              <w:pStyle w:val="2"/>
              <w:outlineLvl w:val="1"/>
            </w:pPr>
            <w:r w:rsidRPr="00350CC8">
              <w:rPr>
                <w:b/>
              </w:rPr>
              <w:t>Раздел 1</w:t>
            </w:r>
            <w:r w:rsidRPr="00350CC8">
              <w:t>. Общие сведения</w:t>
            </w:r>
          </w:p>
          <w:p w:rsidR="00912219" w:rsidRPr="009C4836" w:rsidRDefault="00912219" w:rsidP="00615639">
            <w:pPr>
              <w:pStyle w:val="13"/>
              <w:rPr>
                <w:b/>
              </w:rPr>
            </w:pPr>
            <w:r w:rsidRPr="009C4836">
              <w:rPr>
                <w:b/>
              </w:rPr>
              <w:t xml:space="preserve">Ключевой информационный документ по состоянию на </w:t>
            </w:r>
            <w:r w:rsidR="00C9317F">
              <w:rPr>
                <w:b/>
              </w:rPr>
              <w:t>31.03.2025</w:t>
            </w:r>
          </w:p>
          <w:p w:rsidR="00912219" w:rsidRPr="009C4836" w:rsidRDefault="00912219" w:rsidP="00615639">
            <w:pPr>
              <w:pStyle w:val="13"/>
            </w:pPr>
            <w:r w:rsidRPr="009C4836">
              <w:t>Информация в виде настоящего документа предоставляется в соответствии с требованиями законодательства. 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      </w:r>
          </w:p>
          <w:p w:rsidR="004070AC" w:rsidRPr="004070AC" w:rsidRDefault="001F619F" w:rsidP="00615639">
            <w:pPr>
              <w:pStyle w:val="13"/>
            </w:pPr>
            <w:r>
              <w:t>Закрытый</w:t>
            </w:r>
            <w:r w:rsidR="00483C6F" w:rsidRPr="00483C6F">
              <w:t xml:space="preserve"> паевой инвестиционный фонд рыночных финансовых инструментов </w:t>
            </w:r>
            <w:r w:rsidR="00912219" w:rsidRPr="00DE34A7">
              <w:rPr>
                <w:b/>
              </w:rPr>
              <w:t xml:space="preserve">«Альфа-Капитал </w:t>
            </w:r>
            <w:r w:rsidR="00483C6F" w:rsidRPr="00483C6F">
              <w:rPr>
                <w:b/>
              </w:rPr>
              <w:t>Глобальный баланс</w:t>
            </w:r>
            <w:r w:rsidR="00912219" w:rsidRPr="00DE34A7">
              <w:rPr>
                <w:b/>
              </w:rPr>
              <w:t>»</w:t>
            </w:r>
            <w:r w:rsidR="00912219" w:rsidRPr="009C4836">
              <w:t xml:space="preserve"> под управлением ООО УК «Альфа-Капитал»</w:t>
            </w:r>
            <w:r w:rsidR="007E127F" w:rsidRPr="009C4836">
              <w:t>.</w:t>
            </w:r>
          </w:p>
        </w:tc>
      </w:tr>
      <w:tr w:rsidR="00912219" w:rsidTr="00483C6F">
        <w:trPr>
          <w:trHeight w:val="2555"/>
        </w:trPr>
        <w:tc>
          <w:tcPr>
            <w:tcW w:w="5000" w:type="pct"/>
            <w:shd w:val="clear" w:color="auto" w:fill="EAEEF2" w:themeFill="accent6"/>
            <w:tcMar>
              <w:top w:w="340" w:type="dxa"/>
              <w:bottom w:w="340" w:type="dxa"/>
            </w:tcMar>
          </w:tcPr>
          <w:p w:rsidR="00912219" w:rsidRPr="00092C3D" w:rsidRDefault="0091221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2</w:t>
            </w:r>
            <w:r w:rsidRPr="00092C3D">
              <w:t>. Внимание</w:t>
            </w:r>
          </w:p>
          <w:tbl>
            <w:tblPr>
              <w:tblStyle w:val="a3"/>
              <w:tblW w:w="5000" w:type="pc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5102"/>
              <w:gridCol w:w="5102"/>
            </w:tblGrid>
            <w:tr w:rsidR="00230966" w:rsidTr="00483C6F"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Возврат и доходность инвестиций в паевой инвестиционный фонд не гарантированы государством или иными лицами.</w:t>
                  </w:r>
                </w:p>
              </w:tc>
              <w:tc>
                <w:tcPr>
                  <w:tcW w:w="2500" w:type="pct"/>
                  <w:tcMar>
                    <w:bottom w:w="227" w:type="dxa"/>
                  </w:tcMar>
                </w:tcPr>
                <w:p w:rsidR="00230966" w:rsidRPr="00DA4D8C" w:rsidRDefault="00230966" w:rsidP="00D12D9E">
                  <w:pPr>
                    <w:pStyle w:val="1"/>
                    <w:spacing w:before="0"/>
                    <w:rPr>
                      <w:sz w:val="20"/>
                    </w:rPr>
                  </w:pPr>
                  <w:r w:rsidRPr="00DA4D8C">
                    <w:rPr>
                      <w:sz w:val="20"/>
                    </w:rPr>
                    <w:t>Результаты инвестирования в прошлом не определяют доходы в будущем. Стоимость инвестиционных паев может увеличиваться и уменьшаться.</w:t>
                  </w:r>
                </w:p>
              </w:tc>
            </w:tr>
            <w:tr w:rsidR="00230966" w:rsidTr="00483C6F">
              <w:tc>
                <w:tcPr>
                  <w:tcW w:w="2500" w:type="pct"/>
                  <w:tcMar>
                    <w:bottom w:w="0" w:type="dxa"/>
                  </w:tcMar>
                </w:tcPr>
                <w:p w:rsidR="00315762" w:rsidRPr="00315762" w:rsidRDefault="00315762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Вы можете погасить паи Фонда в случае принятия общим собранием владельцев инвестиционных паев решения об утверждении изменений, которые вносятся в правила, или о передаче прав и обязанностей по договору доверительного управления Фондом другой Управляющей компании, или о продлении срока действия договора доверительного управления фондом.</w:t>
                  </w:r>
                </w:p>
                <w:p w:rsidR="00230966" w:rsidRPr="00DA4D8C" w:rsidRDefault="00315762" w:rsidP="00315762">
                  <w:pPr>
                    <w:pStyle w:val="1"/>
                    <w:numPr>
                      <w:ilvl w:val="0"/>
                      <w:numId w:val="0"/>
                    </w:numPr>
                    <w:spacing w:before="0"/>
                    <w:ind w:left="357"/>
                    <w:rPr>
                      <w:sz w:val="20"/>
                    </w:rPr>
                  </w:pPr>
                  <w:r w:rsidRPr="00315762">
                    <w:rPr>
                      <w:sz w:val="20"/>
                    </w:rPr>
            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            </w:r>
                </w:p>
              </w:tc>
              <w:tc>
                <w:tcPr>
                  <w:tcW w:w="2500" w:type="pct"/>
                  <w:tcMar>
                    <w:bottom w:w="0" w:type="dxa"/>
                  </w:tcMar>
                </w:tcPr>
                <w:p w:rsidR="00230966" w:rsidRPr="00DA4D8C" w:rsidRDefault="00483C6F" w:rsidP="00315762">
                  <w:pPr>
                    <w:pStyle w:val="1"/>
                    <w:spacing w:before="0"/>
                    <w:ind w:left="357"/>
                    <w:rPr>
                      <w:sz w:val="20"/>
                    </w:rPr>
                  </w:pPr>
                  <w:r w:rsidRPr="00483C6F">
                    <w:rPr>
                      <w:sz w:val="20"/>
                    </w:rPr>
                    <w:t xml:space="preserve">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фондом, размещенными на сайте </w:t>
                  </w:r>
                  <w:hyperlink r:id="rId8" w:history="1">
                    <w:r w:rsidR="001F619F" w:rsidRPr="00E04724">
                      <w:rPr>
                        <w:rStyle w:val="a4"/>
                        <w:sz w:val="20"/>
                      </w:rPr>
                      <w:t>https://www.alfacapital.ru/disclosure/pifs_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closed</w:t>
                    </w:r>
                    <w:r w:rsidR="001F619F" w:rsidRPr="00E04724">
                      <w:rPr>
                        <w:rStyle w:val="a4"/>
                        <w:sz w:val="20"/>
                      </w:rPr>
                      <w:t>/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z</w:t>
                    </w:r>
                    <w:r w:rsidR="001F619F" w:rsidRPr="00E04724">
                      <w:rPr>
                        <w:rStyle w:val="a4"/>
                        <w:sz w:val="20"/>
                      </w:rPr>
                      <w:t>pif_</w:t>
                    </w:r>
                    <w:r w:rsidR="001F619F" w:rsidRPr="00E04724">
                      <w:rPr>
                        <w:rStyle w:val="a4"/>
                        <w:sz w:val="20"/>
                        <w:lang w:val="en-US"/>
                      </w:rPr>
                      <w:t>global</w:t>
                    </w:r>
                    <w:r w:rsidR="001F619F" w:rsidRPr="00E04724">
                      <w:rPr>
                        <w:rStyle w:val="a4"/>
                        <w:sz w:val="20"/>
                      </w:rPr>
                      <w:t>/pif-rules</w:t>
                    </w:r>
                  </w:hyperlink>
                  <w:r w:rsidRPr="00483C6F">
                    <w:rPr>
                      <w:sz w:val="20"/>
                    </w:rPr>
                    <w:t>.</w:t>
                  </w:r>
                </w:p>
              </w:tc>
            </w:tr>
          </w:tbl>
          <w:p w:rsidR="00912219" w:rsidRPr="00031217" w:rsidRDefault="00912219" w:rsidP="00230966">
            <w:pPr>
              <w:pStyle w:val="1"/>
              <w:numPr>
                <w:ilvl w:val="0"/>
                <w:numId w:val="0"/>
              </w:numPr>
              <w:ind w:left="360" w:hanging="360"/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912219" w:rsidTr="00483C6F">
        <w:trPr>
          <w:trHeight w:val="2227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7E127F" w:rsidRPr="00C745A2" w:rsidRDefault="00615639" w:rsidP="00350CC8">
            <w:pPr>
              <w:pStyle w:val="2"/>
              <w:spacing w:after="240"/>
              <w:outlineLvl w:val="1"/>
            </w:pPr>
            <w:r>
              <w:rPr>
                <w:color w:val="auto"/>
                <w:sz w:val="18"/>
                <w:szCs w:val="22"/>
              </w:rPr>
              <w:lastRenderedPageBreak/>
              <w:br w:type="page"/>
            </w:r>
            <w:r w:rsidR="00912219" w:rsidRPr="00350CC8">
              <w:rPr>
                <w:b/>
              </w:rPr>
              <w:t>Раздел 3</w:t>
            </w:r>
            <w:r w:rsidR="00912219" w:rsidRPr="00C745A2">
              <w:t>. Инвестиционная стратегия</w:t>
            </w:r>
          </w:p>
          <w:p w:rsidR="00315762" w:rsidRDefault="00315762" w:rsidP="00315762">
            <w:pPr>
              <w:pStyle w:val="1"/>
              <w:numPr>
                <w:ilvl w:val="0"/>
                <w:numId w:val="14"/>
              </w:numPr>
            </w:pPr>
            <w:r>
              <w:t>Управляющая компания при осуществлении доверительного управления фондом реализует стратегию активного управления с учетом Решения Банка России, согласно которого управляющая компания осуществляет реализацию заблокированных активов фонда на наилучших доступных для управляющей компании условиях в связи с невозможностью распоряжаться заблокированными активами фонда вследствие недружественных действий иностранных государств, международных организаций, иностранных финансовых организаций, в том числе связанных с введением ограничительных мер в отношении Российской Федерации, российских юридических лиц и граждан Российской Федерации.</w:t>
            </w:r>
          </w:p>
          <w:p w:rsidR="00315762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В связи с заявленной целью инвестиционной политики отсутствуют преимущественные объекты инвестирования.</w:t>
            </w:r>
          </w:p>
          <w:p w:rsidR="00483C6F" w:rsidRDefault="00315762" w:rsidP="00315762">
            <w:pPr>
              <w:pStyle w:val="1"/>
              <w:numPr>
                <w:ilvl w:val="0"/>
                <w:numId w:val="0"/>
              </w:numPr>
              <w:spacing w:before="0"/>
              <w:ind w:left="357"/>
            </w:pPr>
            <w:r>
              <w:t>Индикатор, по отношению к которому управляющая компания оценивает результативность реализации инвестиционной стратегии активного управления отсутствует в связи с заявленной целью инвестиционной политики</w:t>
            </w:r>
          </w:p>
          <w:p w:rsidR="00483C6F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>Активное управление.</w:t>
            </w:r>
          </w:p>
          <w:p w:rsidR="00912219" w:rsidRPr="00C745A2" w:rsidRDefault="00483C6F" w:rsidP="00483C6F">
            <w:pPr>
              <w:pStyle w:val="1"/>
              <w:numPr>
                <w:ilvl w:val="0"/>
                <w:numId w:val="14"/>
              </w:numPr>
            </w:pPr>
            <w:r>
              <w:t xml:space="preserve">Активы паевого инвестиционного фонда инвестированы в </w:t>
            </w:r>
            <w:r w:rsidR="00CE6535">
              <w:t>55 объектов</w:t>
            </w:r>
            <w:r>
              <w:t>.</w:t>
            </w:r>
          </w:p>
          <w:p w:rsidR="00787466" w:rsidRDefault="00787466" w:rsidP="006865A8">
            <w:pPr>
              <w:spacing w:before="120"/>
              <w:jc w:val="both"/>
              <w:rPr>
                <w:b/>
              </w:rPr>
            </w:pPr>
            <w:r w:rsidRPr="00C745A2">
              <w:rPr>
                <w:b/>
              </w:rPr>
              <w:t>Крупнейшие объекты инвестирования в активах:</w:t>
            </w:r>
          </w:p>
          <w:p w:rsidR="00E04511" w:rsidRDefault="006865A8" w:rsidP="006865A8">
            <w:pPr>
              <w:spacing w:before="120"/>
              <w:jc w:val="both"/>
              <w:rPr>
                <w:sz w:val="22"/>
              </w:rPr>
            </w:pPr>
            <w:r>
              <w:fldChar w:fldCharType="begin"/>
            </w:r>
            <w:r>
              <w:instrText xml:space="preserve"> LINK </w:instrText>
            </w:r>
            <w:r w:rsidR="000B5DDA">
              <w:instrText xml:space="preserve">Excel.SheetMacroEnabled.12 "\\\\bro-ms-srv105\\All_Folders\\Portfolio Management\\Dzhioev\\КИДы\\Перечни имущества\\MASTERFILE 1.4.xlsm" Second!R234C1:R239C3 </w:instrText>
            </w:r>
            <w:r>
              <w:instrText xml:space="preserve">\a \f 4 \h </w:instrText>
            </w:r>
            <w:r>
              <w:fldChar w:fldCharType="separate"/>
            </w:r>
          </w:p>
          <w:tbl>
            <w:tblPr>
              <w:tblW w:w="10160" w:type="dxa"/>
              <w:tblLayout w:type="fixed"/>
              <w:tblLook w:val="04A0" w:firstRow="1" w:lastRow="0" w:firstColumn="1" w:lastColumn="0" w:noHBand="0" w:noVBand="1"/>
            </w:tblPr>
            <w:tblGrid>
              <w:gridCol w:w="6160"/>
              <w:gridCol w:w="1720"/>
              <w:gridCol w:w="2280"/>
            </w:tblGrid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single" w:sz="4" w:space="0" w:color="FFFFFF"/>
                    <w:left w:val="single" w:sz="4" w:space="0" w:color="FFFFFF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Наименование объекта инвестирования</w:t>
                  </w:r>
                </w:p>
              </w:tc>
              <w:tc>
                <w:tcPr>
                  <w:tcW w:w="172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ISIN</w:t>
                  </w:r>
                </w:p>
              </w:tc>
              <w:tc>
                <w:tcPr>
                  <w:tcW w:w="2280" w:type="dxa"/>
                  <w:tcBorders>
                    <w:top w:val="single" w:sz="4" w:space="0" w:color="FFFFFF"/>
                    <w:left w:val="nil"/>
                    <w:bottom w:val="single" w:sz="4" w:space="0" w:color="FFFFFF"/>
                    <w:right w:val="single" w:sz="4" w:space="0" w:color="FFFFFF"/>
                  </w:tcBorders>
                  <w:shd w:val="clear" w:color="000000" w:fill="656F79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b/>
                      <w:bCs/>
                      <w:color w:val="FFFFFF"/>
                      <w:szCs w:val="16"/>
                      <w:lang w:eastAsia="ru-RU"/>
                    </w:rPr>
                    <w:t>Доля от активов, %</w:t>
                  </w:r>
                </w:p>
              </w:tc>
            </w:tr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Meta Platforms,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US30303M1027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12,30</w:t>
                  </w:r>
                </w:p>
              </w:tc>
            </w:tr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Broadcom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US11135F1012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12,18</w:t>
                  </w:r>
                </w:p>
              </w:tc>
            </w:tr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 Uber Technologies, Inc.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US90353T1007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6,14</w:t>
                  </w:r>
                </w:p>
              </w:tc>
            </w:tr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0B5DDA" w:rsidRDefault="00E04511" w:rsidP="00E0451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0B5DD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>SPDR S&amp;P Oil &amp; Gas Equipment &amp; Services ETF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US78468R5494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5,47</w:t>
                  </w:r>
                </w:p>
              </w:tc>
            </w:tr>
            <w:tr w:rsidR="00E04511" w:rsidRPr="00E04511" w:rsidTr="00E04511">
              <w:trPr>
                <w:divId w:val="1917812614"/>
                <w:trHeight w:val="439"/>
              </w:trPr>
              <w:tc>
                <w:tcPr>
                  <w:tcW w:w="616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0B5DDA" w:rsidRDefault="00E04511" w:rsidP="00E04511">
                  <w:pPr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Акции</w:t>
                  </w:r>
                  <w:r w:rsidRPr="000B5DDA">
                    <w:rPr>
                      <w:rFonts w:ascii="Montserrat" w:eastAsia="Times New Roman" w:hAnsi="Montserrat" w:cs="Calibri"/>
                      <w:color w:val="000000"/>
                      <w:szCs w:val="16"/>
                      <w:lang w:val="en-US" w:eastAsia="ru-RU"/>
                    </w:rPr>
                    <w:t xml:space="preserve"> Alphabet Inc._ORD SHS CL C</w:t>
                  </w:r>
                </w:p>
              </w:tc>
              <w:tc>
                <w:tcPr>
                  <w:tcW w:w="1720" w:type="dxa"/>
                  <w:tcBorders>
                    <w:top w:val="nil"/>
                    <w:left w:val="nil"/>
                    <w:bottom w:val="nil"/>
                    <w:right w:val="single" w:sz="4" w:space="0" w:color="FFFFFF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US02079K1079</w:t>
                  </w:r>
                </w:p>
              </w:tc>
              <w:tc>
                <w:tcPr>
                  <w:tcW w:w="228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E0E6EC"/>
                  <w:noWrap/>
                  <w:vAlign w:val="center"/>
                  <w:hideMark/>
                </w:tcPr>
                <w:p w:rsidR="00E04511" w:rsidRPr="00E04511" w:rsidRDefault="00E04511" w:rsidP="00E04511">
                  <w:pPr>
                    <w:jc w:val="center"/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</w:pPr>
                  <w:r w:rsidRPr="00E04511">
                    <w:rPr>
                      <w:rFonts w:ascii="Montserrat" w:eastAsia="Times New Roman" w:hAnsi="Montserrat" w:cs="Calibri"/>
                      <w:color w:val="000000"/>
                      <w:szCs w:val="16"/>
                      <w:lang w:eastAsia="ru-RU"/>
                    </w:rPr>
                    <w:t>4,65</w:t>
                  </w:r>
                </w:p>
              </w:tc>
            </w:tr>
          </w:tbl>
          <w:p w:rsidR="006865A8" w:rsidRPr="00787466" w:rsidRDefault="006865A8" w:rsidP="006865A8">
            <w:pPr>
              <w:spacing w:before="120"/>
              <w:jc w:val="both"/>
              <w:rPr>
                <w:rFonts w:cs="Arial"/>
              </w:rPr>
            </w:pPr>
            <w:r>
              <w:rPr>
                <w:b/>
              </w:rPr>
              <w:fldChar w:fldCharType="end"/>
            </w:r>
          </w:p>
        </w:tc>
      </w:tr>
      <w:tr w:rsidR="00BC0CE6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BC0CE6" w:rsidRPr="00250C76" w:rsidRDefault="00BC0CE6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4</w:t>
            </w:r>
            <w:r w:rsidRPr="00250C76">
              <w:t>. Основные инвестиционные риски</w:t>
            </w:r>
          </w:p>
          <w:tbl>
            <w:tblPr>
              <w:tblStyle w:val="-"/>
              <w:tblW w:w="5000" w:type="pct"/>
              <w:tblLayout w:type="fixed"/>
              <w:tblLook w:val="04A0" w:firstRow="1" w:lastRow="0" w:firstColumn="1" w:lastColumn="0" w:noHBand="0" w:noVBand="1"/>
            </w:tblPr>
            <w:tblGrid>
              <w:gridCol w:w="3176"/>
              <w:gridCol w:w="3318"/>
              <w:gridCol w:w="3704"/>
            </w:tblGrid>
            <w:tr w:rsidR="00B136C6" w:rsidRPr="001B14E5" w:rsidTr="00483C6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</w:tcPr>
                <w:p w:rsidR="00BC0CE6" w:rsidRPr="001B14E5" w:rsidRDefault="00BC0CE6" w:rsidP="007041B8">
                  <w:pPr>
                    <w:rPr>
                      <w:szCs w:val="16"/>
                    </w:rPr>
                  </w:pPr>
                  <w:r w:rsidRPr="001B14E5">
                    <w:rPr>
                      <w:szCs w:val="16"/>
                    </w:rPr>
                    <w:t>Вид риска</w:t>
                  </w:r>
                </w:p>
              </w:tc>
              <w:tc>
                <w:tcPr>
                  <w:tcW w:w="1627" w:type="pct"/>
                </w:tcPr>
                <w:p w:rsidR="00BC0CE6" w:rsidRPr="001B14E5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Вероятность реализации риска</w:t>
                  </w:r>
                </w:p>
              </w:tc>
              <w:tc>
                <w:tcPr>
                  <w:tcW w:w="1816" w:type="pct"/>
                </w:tcPr>
                <w:p w:rsidR="00BC0CE6" w:rsidRPr="00483C6F" w:rsidRDefault="00BC0CE6" w:rsidP="00A75494">
                  <w:pPr>
                    <w:rPr>
                      <w:b w:val="0"/>
                      <w:szCs w:val="16"/>
                    </w:rPr>
                  </w:pPr>
                  <w:r w:rsidRPr="001B14E5">
                    <w:rPr>
                      <w:szCs w:val="16"/>
                    </w:rPr>
                    <w:t>Объем потерь при реализации риска</w:t>
                  </w:r>
                </w:p>
              </w:tc>
            </w:tr>
            <w:tr w:rsidR="00E63D74" w:rsidRPr="001B14E5" w:rsidTr="00483C6F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Рыночный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Средняя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  <w:tr w:rsidR="00E63D74" w:rsidRPr="001B14E5" w:rsidTr="00483C6F">
              <w:trPr>
                <w:trHeight w:val="567"/>
              </w:trPr>
              <w:tc>
                <w:tcPr>
                  <w:tcW w:w="1557" w:type="pct"/>
                  <w:vAlign w:val="center"/>
                </w:tcPr>
                <w:p w:rsidR="00E63D74" w:rsidRPr="00B200D2" w:rsidRDefault="00E63D74" w:rsidP="00E63D74">
                  <w:pPr>
                    <w:rPr>
                      <w:b/>
                      <w:szCs w:val="16"/>
                    </w:rPr>
                  </w:pPr>
                  <w:r w:rsidRPr="00B200D2">
                    <w:rPr>
                      <w:b/>
                      <w:szCs w:val="16"/>
                    </w:rPr>
                    <w:t>Кредитный риск</w:t>
                  </w:r>
                </w:p>
              </w:tc>
              <w:tc>
                <w:tcPr>
                  <w:tcW w:w="1627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Низкая</w:t>
                  </w:r>
                </w:p>
              </w:tc>
              <w:tc>
                <w:tcPr>
                  <w:tcW w:w="1816" w:type="pct"/>
                  <w:vAlign w:val="center"/>
                </w:tcPr>
                <w:p w:rsidR="00E63D74" w:rsidRDefault="00E63D74" w:rsidP="00E63D74">
                  <w:pPr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Высокий</w:t>
                  </w:r>
                </w:p>
              </w:tc>
            </w:tr>
          </w:tbl>
          <w:p w:rsidR="00BC0CE6" w:rsidRPr="00BC0CE6" w:rsidRDefault="00BC0CE6" w:rsidP="00BC0CE6">
            <w:pPr>
              <w:pStyle w:val="10"/>
              <w:spacing w:after="240"/>
              <w:outlineLvl w:val="0"/>
              <w:rPr>
                <w:rFonts w:ascii="Arial" w:hAnsi="Arial" w:cs="Arial"/>
                <w:sz w:val="20"/>
              </w:rPr>
            </w:pP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C92008" w:rsidTr="00483C6F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C92008" w:rsidRPr="00250C76" w:rsidRDefault="00C92008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5</w:t>
            </w:r>
            <w:r w:rsidRPr="00250C76">
              <w:t>. Основные результаты инвестирования</w:t>
            </w:r>
          </w:p>
          <w:tbl>
            <w:tblPr>
              <w:tblStyle w:val="-"/>
              <w:tblW w:w="10203" w:type="dxa"/>
              <w:tblLayout w:type="fixed"/>
              <w:tblLook w:val="04A0" w:firstRow="1" w:lastRow="0" w:firstColumn="1" w:lastColumn="0" w:noHBand="0" w:noVBand="1"/>
            </w:tblPr>
            <w:tblGrid>
              <w:gridCol w:w="4365"/>
              <w:gridCol w:w="1208"/>
              <w:gridCol w:w="2314"/>
              <w:gridCol w:w="2316"/>
            </w:tblGrid>
            <w:tr w:rsidR="00483C6F" w:rsidRPr="00250C76" w:rsidTr="001F619F">
              <w:trPr>
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</w:tcPr>
                <w:p w:rsidR="00483C6F" w:rsidRPr="00A43186" w:rsidRDefault="00483C6F" w:rsidP="00483C6F">
                  <w:pPr>
                    <w:jc w:val="center"/>
                  </w:pPr>
                  <w:r w:rsidRPr="00250C76">
                    <w:t>Д</w:t>
                  </w:r>
                  <w:r>
                    <w:t>оходность за календарный год, %</w:t>
                  </w:r>
                </w:p>
              </w:tc>
              <w:tc>
                <w:tcPr>
                  <w:tcW w:w="2861" w:type="pct"/>
                  <w:gridSpan w:val="3"/>
                </w:tcPr>
                <w:p w:rsidR="00483C6F" w:rsidRPr="00A75494" w:rsidRDefault="00483C6F" w:rsidP="00A43186">
                  <w:pPr>
                    <w:jc w:val="center"/>
                    <w:rPr>
                      <w:b w:val="0"/>
                    </w:rPr>
                  </w:pPr>
                  <w:r w:rsidRPr="00345DE5">
                    <w:t>Доходность за период, %</w:t>
                  </w:r>
                </w:p>
              </w:tc>
            </w:tr>
            <w:tr w:rsidR="00483C6F" w:rsidRPr="00DE34A7" w:rsidTr="00BE1212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 w:val="restart"/>
                  <w:vAlign w:val="center"/>
                </w:tcPr>
                <w:p w:rsidR="00483C6F" w:rsidRPr="00250C76" w:rsidRDefault="00BE1212" w:rsidP="00483C6F">
                  <w:pPr>
                    <w:jc w:val="center"/>
                  </w:pPr>
                  <w:r>
                    <w:rPr>
                      <w:noProof/>
                      <w:lang w:eastAsia="ru-RU"/>
                    </w:rPr>
                    <w:drawing>
                      <wp:inline distT="0" distB="0" distL="0" distR="0" wp14:anchorId="35683C45" wp14:editId="2D458437">
                        <wp:extent cx="2556000" cy="2340000"/>
                        <wp:effectExtent l="0" t="0" r="0" b="3175"/>
                        <wp:docPr id="1" name="Диаграмма 1"/>
                        <wp:cNvGraphicFramePr/>
                        <a:graphic xmlns:a="http://schemas.openxmlformats.org/drawingml/2006/main">
                          <a:graphicData uri="http://schemas.openxmlformats.org/drawingml/2006/chart">
                            <c:chart xmlns:c="http://schemas.openxmlformats.org/drawingml/2006/chart" xmlns:r="http://schemas.openxmlformats.org/officeDocument/2006/relationships" r:id="rId9"/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592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Период</w:t>
                  </w:r>
                </w:p>
              </w:tc>
              <w:tc>
                <w:tcPr>
                  <w:tcW w:w="1134" w:type="pct"/>
                  <w:vMerge w:val="restar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Доходность инвестиций</w:t>
                  </w: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483C6F" w:rsidRPr="00DE34A7" w:rsidRDefault="00483C6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 w:rsidRPr="00DE34A7">
                    <w:rPr>
                      <w:b/>
                      <w:color w:val="FFFFFF" w:themeColor="background1"/>
                      <w:sz w:val="14"/>
                    </w:rPr>
                    <w:t>Отклонение доходности</w:t>
                  </w:r>
                </w:p>
              </w:tc>
            </w:tr>
            <w:tr w:rsidR="001F619F" w:rsidRPr="00DE34A7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1F619F" w:rsidRPr="00250C76" w:rsidRDefault="001F619F" w:rsidP="00483C6F">
                  <w:pPr>
                    <w:jc w:val="center"/>
                  </w:pPr>
                </w:p>
              </w:tc>
              <w:tc>
                <w:tcPr>
                  <w:tcW w:w="592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4" w:type="pct"/>
                  <w:vMerge/>
                  <w:shd w:val="clear" w:color="auto" w:fill="848E98" w:themeFill="accent3"/>
                  <w:vAlign w:val="center"/>
                </w:tcPr>
                <w:p w:rsidR="001F619F" w:rsidRPr="00DE34A7" w:rsidRDefault="001F619F" w:rsidP="00483C6F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</w:p>
              </w:tc>
              <w:tc>
                <w:tcPr>
                  <w:tcW w:w="1135" w:type="pct"/>
                  <w:shd w:val="clear" w:color="auto" w:fill="848E98" w:themeFill="accent3"/>
                  <w:vAlign w:val="center"/>
                </w:tcPr>
                <w:p w:rsidR="001F619F" w:rsidRPr="00DE34A7" w:rsidRDefault="00BF0134" w:rsidP="00BE1212">
                  <w:pPr>
                    <w:jc w:val="center"/>
                    <w:rPr>
                      <w:b/>
                      <w:color w:val="FFFFFF" w:themeColor="background1"/>
                      <w:sz w:val="14"/>
                    </w:rPr>
                  </w:pPr>
                  <w:r>
                    <w:rPr>
                      <w:b/>
                      <w:color w:val="FFFFFF" w:themeColor="background1"/>
                      <w:sz w:val="14"/>
                    </w:rPr>
                    <w:t>от инфляции ****</w:t>
                  </w:r>
                </w:p>
              </w:tc>
            </w:tr>
            <w:tr w:rsidR="000B5DD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  <w:bookmarkStart w:id="0" w:name="_GoBack" w:colFirst="2" w:colLast="3"/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месяц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-3,8%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-4,6%</w:t>
                  </w:r>
                </w:p>
              </w:tc>
            </w:tr>
            <w:tr w:rsidR="000B5DD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месяца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-15,5%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-18,9%</w:t>
                  </w:r>
                </w:p>
              </w:tc>
            </w:tr>
            <w:tr w:rsidR="000B5DD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6 месяцев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-7,7%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-13,9%</w:t>
                  </w:r>
                </w:p>
              </w:tc>
            </w:tr>
            <w:tr w:rsidR="000B5DD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1 год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-27,9%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-38,0%</w:t>
                  </w:r>
                </w:p>
              </w:tc>
            </w:tr>
            <w:tr w:rsidR="000B5DDA" w:rsidRPr="00250C76" w:rsidTr="00A43186">
              <w:trPr>
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3 года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FF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FF0000"/>
                      <w:szCs w:val="16"/>
                    </w:rPr>
                    <w:t>***</w:t>
                  </w:r>
                </w:p>
              </w:tc>
            </w:tr>
            <w:tr w:rsidR="000B5DDA" w:rsidRPr="00250C76" w:rsidTr="00A43186">
              <w:trPr>
                <w:trHeight w:val="482"/>
              </w:trPr>
              <w:tc>
                <w:tcPr>
                  <w:tcW w:w="2139" w:type="pct"/>
                  <w:vMerge/>
                  <w:vAlign w:val="center"/>
                </w:tcPr>
                <w:p w:rsidR="000B5DDA" w:rsidRPr="00250C76" w:rsidRDefault="000B5DDA" w:rsidP="000B5DDA">
                  <w:pPr>
                    <w:jc w:val="center"/>
                  </w:pPr>
                </w:p>
              </w:tc>
              <w:tc>
                <w:tcPr>
                  <w:tcW w:w="592" w:type="pct"/>
                  <w:vAlign w:val="center"/>
                </w:tcPr>
                <w:p w:rsidR="000B5DDA" w:rsidRPr="00FC6A6C" w:rsidRDefault="000B5DDA" w:rsidP="000B5DDA">
                  <w:pPr>
                    <w:jc w:val="center"/>
                    <w:rPr>
                      <w:b/>
                    </w:rPr>
                  </w:pPr>
                  <w:r w:rsidRPr="00FC6A6C">
                    <w:rPr>
                      <w:b/>
                    </w:rPr>
                    <w:t>5 лет</w:t>
                  </w:r>
                </w:p>
              </w:tc>
              <w:tc>
                <w:tcPr>
                  <w:tcW w:w="1134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-43,9%</w:t>
                  </w:r>
                </w:p>
              </w:tc>
              <w:tc>
                <w:tcPr>
                  <w:tcW w:w="1135" w:type="pct"/>
                  <w:vAlign w:val="center"/>
                </w:tcPr>
                <w:p w:rsidR="000B5DDA" w:rsidRDefault="000B5DDA" w:rsidP="000B5DDA">
                  <w:pPr>
                    <w:jc w:val="center"/>
                    <w:rPr>
                      <w:rFonts w:ascii="Montserrat" w:hAnsi="Montserrat" w:cs="Calibri"/>
                      <w:color w:val="000000"/>
                      <w:szCs w:val="16"/>
                    </w:rPr>
                  </w:pPr>
                  <w:r>
                    <w:rPr>
                      <w:rFonts w:ascii="Montserrat" w:hAnsi="Montserrat" w:cs="Calibri"/>
                      <w:color w:val="000000"/>
                      <w:szCs w:val="16"/>
                    </w:rPr>
                    <w:t>-95,6%</w:t>
                  </w:r>
                </w:p>
              </w:tc>
            </w:tr>
          </w:tbl>
          <w:bookmarkEnd w:id="0"/>
          <w:p w:rsidR="00C92008" w:rsidRPr="00250C76" w:rsidRDefault="00C92008" w:rsidP="00A43186">
            <w:pPr>
              <w:pStyle w:val="1"/>
              <w:numPr>
                <w:ilvl w:val="0"/>
                <w:numId w:val="16"/>
              </w:numPr>
              <w:spacing w:before="360"/>
            </w:pPr>
            <w:r w:rsidRPr="00250C76">
              <w:t xml:space="preserve">Расчетная стоимость инвестиционного пая </w:t>
            </w:r>
            <w:r w:rsidR="00AE4FB1">
              <w:rPr>
                <w:b/>
              </w:rPr>
              <w:t>930,5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Pr="00250C76" w:rsidRDefault="00C92008" w:rsidP="00345DE5">
            <w:pPr>
              <w:pStyle w:val="1"/>
            </w:pPr>
            <w:r w:rsidRPr="00250C76">
              <w:t>Результаты инвестирования не учитывают комиссии, удерживаемые при выдаче и погашении инвестиционных паев паевого инвестиционного фонда (скидки и надбавки). Указанные комиссии могут уменьшать доход от инвестиций.</w:t>
            </w:r>
          </w:p>
          <w:p w:rsidR="00C92008" w:rsidRPr="00250C76" w:rsidRDefault="00C92008" w:rsidP="00A43186">
            <w:pPr>
              <w:pStyle w:val="1"/>
            </w:pPr>
            <w:r w:rsidRPr="00250C76">
              <w:t xml:space="preserve">Стоимость чистых активов паевого инвестиционного фонда </w:t>
            </w:r>
            <w:r w:rsidR="00E04511">
              <w:rPr>
                <w:b/>
              </w:rPr>
              <w:t>6 145 943 872,81</w:t>
            </w:r>
            <w:r w:rsidR="00A43186" w:rsidRPr="00A43186">
              <w:rPr>
                <w:b/>
              </w:rPr>
              <w:t xml:space="preserve"> руб</w:t>
            </w:r>
            <w:r w:rsidR="00A43186" w:rsidRPr="00A43186">
              <w:t>.</w:t>
            </w:r>
          </w:p>
          <w:p w:rsidR="00C92008" w:rsidRDefault="00C92008" w:rsidP="00345DE5">
            <w:pPr>
              <w:pStyle w:val="1"/>
            </w:pPr>
            <w:r w:rsidRPr="00250C76">
              <w:t>Доход от управления фондом не выплачивается, но капитализируется, увеличивая стоимость инвестиционного пая и доходность инвестиций.</w:t>
            </w:r>
          </w:p>
          <w:p w:rsidR="00483C6F" w:rsidRPr="00250C76" w:rsidRDefault="00483C6F" w:rsidP="00A75494">
            <w:pPr>
              <w:pStyle w:val="1"/>
            </w:pPr>
            <w:r w:rsidRPr="00483C6F">
              <w:t>Правилами доверительного управления паевым инвестиционным фондом</w:t>
            </w:r>
            <w:r w:rsidR="00A75494">
              <w:t xml:space="preserve"> не</w:t>
            </w:r>
            <w:r w:rsidRPr="00483C6F">
              <w:t xml:space="preserve"> предусмотрены надбавки к расчетной стоимости инвестиционных паев при их выдаче и скидки с расчетной стоимости инвести</w:t>
            </w:r>
            <w:r w:rsidR="00A75494">
              <w:t>ционных паев при их погашении.</w:t>
            </w:r>
          </w:p>
        </w:tc>
      </w:tr>
      <w:tr w:rsidR="003C6249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3C6249" w:rsidRDefault="003C6249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t>Раздел 6</w:t>
            </w:r>
            <w:r w:rsidRPr="00250C76">
              <w:t>. Комиссии</w:t>
            </w:r>
          </w:p>
          <w:tbl>
            <w:tblPr>
              <w:tblStyle w:val="a3"/>
              <w:tblW w:w="0" w:type="auto"/>
              <w:tblLayout w:type="fixed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097"/>
              <w:gridCol w:w="5097"/>
            </w:tblGrid>
            <w:tr w:rsidR="003C6249" w:rsidTr="003C6249"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righ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681"/>
                    <w:gridCol w:w="1126"/>
                  </w:tblGrid>
                  <w:tr w:rsidR="00DE34A7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5000" w:type="pct"/>
                        <w:gridSpan w:val="2"/>
                      </w:tcPr>
                      <w:p w:rsidR="00DE34A7" w:rsidRDefault="00DE34A7" w:rsidP="00DE34A7">
                        <w:r w:rsidRPr="00250C76">
                          <w:t>Комиссии, оплачиваемые один раз</w:t>
                        </w:r>
                      </w:p>
                    </w:tc>
                  </w:tr>
                  <w:tr w:rsidR="003C6249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250C76" w:rsidRDefault="003C6249" w:rsidP="007041B8">
                        <w:r>
                          <w:t>П</w:t>
                        </w:r>
                        <w:r w:rsidRPr="003C6249">
                          <w:t>ри приобретении инвестиционного пая (надбавка)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A75494" w:rsidRDefault="002343D1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  <w:tr w:rsidR="003C6249" w:rsidTr="00483C6F">
                    <w:trPr>
                      <w:trHeight w:val="781"/>
                    </w:trPr>
                    <w:tc>
                      <w:tcPr>
                        <w:tcW w:w="3829" w:type="pct"/>
                        <w:vAlign w:val="center"/>
                      </w:tcPr>
                      <w:p w:rsidR="003C6249" w:rsidRPr="003C6249" w:rsidRDefault="003C6249" w:rsidP="007041B8">
                        <w:r>
                          <w:t>П</w:t>
                        </w:r>
                        <w:r w:rsidRPr="003C6249">
                          <w:t>ри погашении инвестиционного пая (скидка)</w:t>
                        </w:r>
                      </w:p>
                    </w:tc>
                    <w:tc>
                      <w:tcPr>
                        <w:tcW w:w="1171" w:type="pct"/>
                        <w:vAlign w:val="center"/>
                      </w:tcPr>
                      <w:p w:rsidR="003C6249" w:rsidRPr="00593E26" w:rsidRDefault="002343D1" w:rsidP="007041B8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Нет</w:t>
                        </w:r>
                      </w:p>
                    </w:tc>
                  </w:tr>
                </w:tbl>
                <w:p w:rsidR="003C6249" w:rsidRDefault="003C6249" w:rsidP="003C6249"/>
              </w:tc>
              <w:tc>
                <w:tcPr>
                  <w:tcW w:w="5097" w:type="dxa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left w:w="284" w:type="dxa"/>
                  </w:tcMar>
                </w:tcPr>
                <w:tbl>
                  <w:tblPr>
                    <w:tblStyle w:val="-"/>
                    <w:tblW w:w="5000" w:type="pct"/>
                    <w:tblLayout w:type="fixed"/>
                    <w:tblLook w:val="04A0" w:firstRow="1" w:lastRow="0" w:firstColumn="1" w:lastColumn="0" w:noHBand="0" w:noVBand="1"/>
                  </w:tblPr>
                  <w:tblGrid>
                    <w:gridCol w:w="3546"/>
                    <w:gridCol w:w="1261"/>
                  </w:tblGrid>
                  <w:tr w:rsidR="00483C6F" w:rsidRPr="00250C76" w:rsidTr="00483C6F">
                    <w:trPr>
        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5000" w:type="pct"/>
                        <w:gridSpan w:val="2"/>
                      </w:tcPr>
                      <w:p w:rsidR="00483C6F" w:rsidRPr="00250C76" w:rsidRDefault="00483C6F" w:rsidP="00483C6F">
                        <w:r w:rsidRPr="00250C76">
                          <w:t>Комиссии, оплачиваемые каждый год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pPr>
                          <w:rPr>
                            <w:szCs w:val="16"/>
                          </w:rPr>
                        </w:pPr>
                        <w:r w:rsidRPr="00250C76">
                          <w:t>Вознаграждение Управляющей компании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483C6F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2.5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Вознаграждение специализированного депозитария, регистратора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CA6417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0.14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  <w:tr w:rsidR="00483C6F" w:rsidRPr="00250C76" w:rsidTr="00483C6F">
                    <w:trPr>
    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    <w:trHeight w:val="585"/>
                    </w:trPr>
                    <w:tc>
                      <w:tcPr>
                        <w:tcW w:w="3688" w:type="pct"/>
                        <w:vAlign w:val="center"/>
                      </w:tcPr>
                      <w:p w:rsidR="00483C6F" w:rsidRPr="00250C76" w:rsidRDefault="00483C6F" w:rsidP="00483C6F">
                        <w:r w:rsidRPr="00250C76">
                          <w:t>Прочие расходы</w:t>
                        </w:r>
                      </w:p>
                    </w:tc>
                    <w:tc>
                      <w:tcPr>
                        <w:tcW w:w="1312" w:type="pct"/>
                        <w:vAlign w:val="center"/>
                      </w:tcPr>
                      <w:p w:rsidR="00483C6F" w:rsidRPr="007041B8" w:rsidRDefault="00483C6F" w:rsidP="00A75494">
                        <w:pPr>
                          <w:jc w:val="center"/>
                          <w:rPr>
                            <w:b/>
                          </w:rPr>
                        </w:pPr>
                        <w:r>
                          <w:rPr>
                            <w:b/>
                          </w:rPr>
                          <w:t>0.4</w:t>
                        </w:r>
                        <w:r w:rsidRPr="007041B8">
                          <w:rPr>
                            <w:b/>
                          </w:rPr>
                          <w:t>%</w:t>
                        </w:r>
                      </w:p>
                    </w:tc>
                  </w:tr>
                </w:tbl>
                <w:p w:rsidR="003C6249" w:rsidRDefault="003C6249" w:rsidP="003C6249"/>
              </w:tc>
            </w:tr>
          </w:tbl>
          <w:p w:rsidR="003C6249" w:rsidRPr="00250C76" w:rsidRDefault="003C6249" w:rsidP="00DE34A7">
            <w:pPr>
              <w:spacing w:before="240"/>
            </w:pPr>
            <w:r w:rsidRPr="00250C76">
              <w:t>Размер комиссий указан в процентах от стоимости чистых активов паевого инвестиционного фонда.</w:t>
            </w:r>
          </w:p>
          <w:p w:rsidR="003C6249" w:rsidRPr="003C6249" w:rsidRDefault="003C6249" w:rsidP="00DE34A7">
            <w:r w:rsidRPr="00250C76">
              <w:t>Подробные условия указаны в правилах доверительного управления паевым инвестиционным фондом.</w:t>
            </w:r>
          </w:p>
        </w:tc>
      </w:tr>
    </w:tbl>
    <w:p w:rsidR="00A43186" w:rsidRDefault="00A43186">
      <w:r>
        <w:br w:type="page"/>
      </w:r>
    </w:p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227" w:type="dxa"/>
          <w:left w:w="851" w:type="dxa"/>
          <w:bottom w:w="227" w:type="dxa"/>
          <w:right w:w="851" w:type="dxa"/>
        </w:tblCellMar>
        <w:tblLook w:val="04A0" w:firstRow="1" w:lastRow="0" w:firstColumn="1" w:lastColumn="0" w:noHBand="0" w:noVBand="1"/>
      </w:tblPr>
      <w:tblGrid>
        <w:gridCol w:w="11906"/>
      </w:tblGrid>
      <w:tr w:rsidR="00DE34A7" w:rsidTr="00092C3D">
        <w:trPr>
          <w:trHeight w:val="24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DE34A7" w:rsidRDefault="00DE34A7" w:rsidP="00350CC8">
            <w:pPr>
              <w:pStyle w:val="2"/>
              <w:spacing w:after="240"/>
              <w:outlineLvl w:val="1"/>
            </w:pPr>
            <w:r w:rsidRPr="00350CC8">
              <w:rPr>
                <w:b/>
              </w:rPr>
              <w:lastRenderedPageBreak/>
              <w:t>Раздел 7</w:t>
            </w:r>
            <w:r w:rsidRPr="00250C76">
              <w:t>. Иная информация</w:t>
            </w:r>
          </w:p>
          <w:p w:rsidR="00C27FF0" w:rsidRDefault="001617E4" w:rsidP="001617E4">
            <w:pPr>
              <w:pStyle w:val="1"/>
              <w:numPr>
                <w:ilvl w:val="0"/>
                <w:numId w:val="17"/>
              </w:numPr>
              <w:jc w:val="both"/>
            </w:pPr>
            <w:r w:rsidRPr="001617E4">
              <w:t>Минимальная стоимость имущества, передачей которого в оплату инвестиционных паев обусловлена выдача инвестиционных паев после завершения формирования фонда, не предусмотрена. В соответствии с правилами доверительного управления фондом выдача инвестиционных паев после даты завершения (окончания) формирования фонда и выдача дополнительных инвестиционных паев Фонда не осуществляется.</w:t>
            </w:r>
          </w:p>
          <w:p w:rsidR="00483C6F" w:rsidRDefault="00483C6F" w:rsidP="00C27FF0">
            <w:pPr>
              <w:pStyle w:val="1"/>
              <w:numPr>
                <w:ilvl w:val="0"/>
                <w:numId w:val="17"/>
              </w:numPr>
            </w:pPr>
            <w:r>
              <w:t>Правила доверительного управления паевым инвестиционным фондом зарегистрированы за № 0907-94126486 от 07.08.2007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>Паевой инвестиционный фонд сформирован 19.11.2007 г.</w:t>
            </w:r>
          </w:p>
          <w:p w:rsidR="00483C6F" w:rsidRDefault="00483C6F" w:rsidP="000B7F9B">
            <w:pPr>
              <w:pStyle w:val="1"/>
              <w:numPr>
                <w:ilvl w:val="0"/>
                <w:numId w:val="17"/>
              </w:numPr>
            </w:pPr>
            <w:r>
              <w:t xml:space="preserve">Информацию, подлежащую раскрытию и предоставлению, можно получить на сайте </w:t>
            </w:r>
            <w:hyperlink r:id="rId10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а также по адресу управляющей компании.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Управляющая компания ООО УК «Альфа-Капитал», лицензия № 21—000—1—00028 от 22 сентября 1998 года, сайт </w:t>
            </w:r>
            <w:hyperlink r:id="rId11" w:history="1">
              <w:r w:rsidRPr="00CF3121">
                <w:rPr>
                  <w:rStyle w:val="a4"/>
                </w:rPr>
                <w:t>www.alfacapital.ru</w:t>
              </w:r>
            </w:hyperlink>
            <w:r>
              <w:t>, телефон 8 (800) 200-28-28, адрес Москва, ул. Садовая-Кудринская, д. 32, стр. 1 БЦ «Бронная Плаза».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Специализированный депозитарий АО «Специализированный депозитарий «ИНФИНИТУМ», сайт </w:t>
            </w:r>
            <w:hyperlink r:id="rId12" w:history="1">
              <w:r w:rsidRPr="00CF3121">
                <w:rPr>
                  <w:rStyle w:val="a4"/>
                  <w:lang w:val="en-US"/>
                </w:rPr>
                <w:t>www</w:t>
              </w:r>
              <w:r w:rsidRPr="00CF3121">
                <w:rPr>
                  <w:rStyle w:val="a4"/>
                </w:rPr>
                <w:t>.specdep.ru</w:t>
              </w:r>
            </w:hyperlink>
            <w:r>
              <w:t>.</w:t>
            </w:r>
          </w:p>
          <w:p w:rsidR="00483C6F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>Лицо, осуществляющее ведение реестра владельцев инвестиционных паев Акционерное общество «Независимая регистраторская компания Р.О.С.Т</w:t>
            </w:r>
            <w:r w:rsidR="00682B53">
              <w:t>.</w:t>
            </w:r>
            <w:r>
              <w:t xml:space="preserve">», сайт </w:t>
            </w:r>
            <w:hyperlink r:id="rId13" w:history="1">
              <w:r w:rsidRPr="00CF3121">
                <w:rPr>
                  <w:rStyle w:val="a4"/>
                </w:rPr>
                <w:t>www.rrost.ru</w:t>
              </w:r>
            </w:hyperlink>
            <w:r>
              <w:t>.</w:t>
            </w:r>
          </w:p>
          <w:p w:rsidR="00DE34A7" w:rsidRPr="00250C76" w:rsidRDefault="00483C6F" w:rsidP="00483C6F">
            <w:pPr>
              <w:pStyle w:val="1"/>
              <w:numPr>
                <w:ilvl w:val="0"/>
                <w:numId w:val="17"/>
              </w:numPr>
            </w:pPr>
            <w:r>
              <w:t xml:space="preserve">Надзор и контроль за деятельностью управляющей компании паевого инвестиционного фонда в соответствии с подпунктом 10 пункта 2 статьи 55 Федерального закона "Об инвестиционных фондах" осуществляет Банк России, сайт </w:t>
            </w:r>
            <w:hyperlink r:id="rId14" w:history="1">
              <w:r w:rsidRPr="00CF3121">
                <w:rPr>
                  <w:rStyle w:val="a4"/>
                </w:rPr>
                <w:t>www.cbr.ru</w:t>
              </w:r>
            </w:hyperlink>
            <w:r>
              <w:t>, номер телефона 8 (800) 300-30-00.</w:t>
            </w:r>
          </w:p>
        </w:tc>
      </w:tr>
      <w:tr w:rsidR="00FC657D" w:rsidTr="00FC657D">
        <w:trPr>
          <w:trHeight w:val="486"/>
        </w:trPr>
        <w:tc>
          <w:tcPr>
            <w:tcW w:w="5000" w:type="pct"/>
            <w:tcMar>
              <w:top w:w="340" w:type="dxa"/>
              <w:bottom w:w="340" w:type="dxa"/>
            </w:tcMar>
          </w:tcPr>
          <w:p w:rsidR="00FC657D" w:rsidRDefault="00FC657D"/>
          <w:tbl>
            <w:tblPr>
              <w:tblStyle w:val="a3"/>
              <w:tblW w:w="0" w:type="auto"/>
              <w:tblBorders>
                <w:top w:val="single" w:sz="4" w:space="0" w:color="EAEEF2" w:themeColor="accent6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94"/>
            </w:tblGrid>
            <w:tr w:rsidR="00FC657D" w:rsidTr="00FC657D">
              <w:tc>
                <w:tcPr>
                  <w:tcW w:w="10194" w:type="dxa"/>
                  <w:tcMar>
                    <w:top w:w="284" w:type="dxa"/>
                  </w:tcMar>
                </w:tcPr>
                <w:p w:rsidR="00FC657D" w:rsidRPr="00F16916" w:rsidRDefault="00E372B6" w:rsidP="00FC657D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Доходность за 2022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8752F5" w:rsidRPr="00F16916" w:rsidRDefault="008752F5" w:rsidP="008752F5">
                  <w:pPr>
                    <w:rPr>
                      <w:sz w:val="14"/>
                      <w:vertAlign w:val="superscript"/>
                    </w:rPr>
                  </w:pPr>
                  <w:r w:rsidRPr="00F16916">
                    <w:rPr>
                      <w:sz w:val="14"/>
                    </w:rPr>
                    <w:t>** Доходность за 2023 год отражает результат за неполный календарный год за период, в течение которого была возможность определения показателей для расчета.</w:t>
                  </w:r>
                </w:p>
                <w:p w:rsidR="00EF6DCB" w:rsidRPr="00F16916" w:rsidRDefault="00E372B6" w:rsidP="00A43186">
                  <w:pPr>
                    <w:rPr>
                      <w:sz w:val="14"/>
                    </w:rPr>
                  </w:pPr>
                  <w:r w:rsidRPr="00F16916">
                    <w:rPr>
                      <w:sz w:val="14"/>
                    </w:rPr>
                    <w:t>*</w:t>
                  </w:r>
                  <w:r w:rsidR="008752F5" w:rsidRPr="00F16916">
                    <w:rPr>
                      <w:sz w:val="14"/>
                    </w:rPr>
                    <w:t>*</w:t>
                  </w:r>
                  <w:r w:rsidRPr="00F16916">
                    <w:rPr>
                      <w:sz w:val="14"/>
                    </w:rPr>
                    <w:t>*</w:t>
                  </w:r>
                  <w:r w:rsidR="00FC657D" w:rsidRPr="00F16916">
                    <w:rPr>
                      <w:sz w:val="14"/>
                    </w:rPr>
                    <w:t xml:space="preserve"> </w:t>
                  </w:r>
                  <w:r w:rsidR="00A43186" w:rsidRPr="00F16916">
                    <w:rPr>
                      <w:sz w:val="14"/>
                    </w:rPr>
                    <w:t>Данные не указываются по причине невозможности определения показателя по состоянию на отчетную дату.</w:t>
                  </w:r>
                </w:p>
                <w:p w:rsidR="00FF76D0" w:rsidRPr="00F16916" w:rsidRDefault="00C22FF6" w:rsidP="00A43186">
                  <w:pPr>
                    <w:rPr>
                      <w:sz w:val="14"/>
                    </w:rPr>
                  </w:pPr>
                  <w:r>
                    <w:rPr>
                      <w:sz w:val="14"/>
                    </w:rPr>
                    <w:t>**** В связи с отсутствием раскрытия Росстатом сведений о приросте индекса потребительских цен за отчетный месяц, использованы сведения о приросте индекса потребительских цен, раскрытые Росстатом за предыдущий отчетный месяц.</w:t>
                  </w:r>
                </w:p>
                <w:p w:rsidR="00B810C7" w:rsidRPr="006B0AA2" w:rsidRDefault="00B810C7" w:rsidP="00A43186">
                  <w:pPr>
                    <w:rPr>
                      <w:sz w:val="14"/>
                    </w:rPr>
                  </w:pPr>
                </w:p>
              </w:tc>
            </w:tr>
          </w:tbl>
          <w:p w:rsidR="00FC657D" w:rsidRPr="00FC657D" w:rsidRDefault="00FC657D" w:rsidP="00FC657D"/>
        </w:tc>
      </w:tr>
    </w:tbl>
    <w:p w:rsidR="00FB0F11" w:rsidRPr="00250C76" w:rsidRDefault="00FB0F11" w:rsidP="00FB0F11">
      <w:pPr>
        <w:pStyle w:val="a5"/>
        <w:tabs>
          <w:tab w:val="left" w:leader="underscore" w:pos="10466"/>
        </w:tabs>
        <w:ind w:left="0"/>
        <w:rPr>
          <w:rFonts w:ascii="Arial" w:hAnsi="Arial" w:cs="Arial"/>
        </w:rPr>
      </w:pPr>
    </w:p>
    <w:sectPr w:rsidR="00FB0F11" w:rsidRPr="00250C76" w:rsidSect="00350CC8">
      <w:headerReference w:type="default" r:id="rId15"/>
      <w:type w:val="continuous"/>
      <w:pgSz w:w="11906" w:h="16838"/>
      <w:pgMar w:top="993" w:right="0" w:bottom="426" w:left="0" w:header="568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7361" w:rsidRDefault="00907361" w:rsidP="00566956">
      <w:r>
        <w:separator/>
      </w:r>
    </w:p>
  </w:endnote>
  <w:endnote w:type="continuationSeparator" w:id="0">
    <w:p w:rsidR="00907361" w:rsidRDefault="00907361" w:rsidP="005669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ontserrat">
    <w:panose1 w:val="00000000000000000000"/>
    <w:charset w:val="CC"/>
    <w:family w:val="auto"/>
    <w:pitch w:val="variable"/>
    <w:sig w:usb0="A00002FF" w:usb1="4000207B" w:usb2="00000000" w:usb3="00000000" w:csb0="000001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7361" w:rsidRDefault="00907361" w:rsidP="00566956">
      <w:r>
        <w:separator/>
      </w:r>
    </w:p>
  </w:footnote>
  <w:footnote w:type="continuationSeparator" w:id="0">
    <w:p w:rsidR="00907361" w:rsidRDefault="00907361" w:rsidP="005669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a3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851" w:type="dxa"/>
        <w:right w:w="851" w:type="dxa"/>
      </w:tblCellMar>
      <w:tblLook w:val="04A0" w:firstRow="1" w:lastRow="0" w:firstColumn="1" w:lastColumn="0" w:noHBand="0" w:noVBand="1"/>
    </w:tblPr>
    <w:tblGrid>
      <w:gridCol w:w="11896"/>
    </w:tblGrid>
    <w:tr w:rsidR="00566956" w:rsidTr="00787466">
      <w:tc>
        <w:tcPr>
          <w:tcW w:w="11896" w:type="dxa"/>
        </w:tcPr>
        <w:p w:rsidR="00566956" w:rsidRDefault="00566956">
          <w:pPr>
            <w:pStyle w:val="a8"/>
          </w:pPr>
          <w:r>
            <w:rPr>
              <w:rFonts w:ascii="Arial" w:hAnsi="Arial" w:cs="Arial"/>
              <w:b/>
              <w:noProof/>
              <w:lang w:eastAsia="ru-RU"/>
            </w:rPr>
            <w:drawing>
              <wp:inline distT="0" distB="0" distL="0" distR="0" wp14:anchorId="27685991" wp14:editId="6940D5CE">
                <wp:extent cx="1483471" cy="197047"/>
                <wp:effectExtent l="0" t="0" r="2540" b="0"/>
                <wp:docPr id="8" name="Рисунок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logo2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83471" cy="19704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566956" w:rsidRDefault="0056695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C86755"/>
    <w:multiLevelType w:val="hybridMultilevel"/>
    <w:tmpl w:val="034E31F4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928E5"/>
    <w:multiLevelType w:val="hybridMultilevel"/>
    <w:tmpl w:val="19F2CB70"/>
    <w:lvl w:ilvl="0" w:tplc="6C7A1FA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8335CA"/>
    <w:multiLevelType w:val="hybridMultilevel"/>
    <w:tmpl w:val="8B3E571C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20826"/>
    <w:multiLevelType w:val="hybridMultilevel"/>
    <w:tmpl w:val="884A02C0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10543F7"/>
    <w:multiLevelType w:val="hybridMultilevel"/>
    <w:tmpl w:val="5FDE4D5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B1675D"/>
    <w:multiLevelType w:val="hybridMultilevel"/>
    <w:tmpl w:val="018840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4F3185"/>
    <w:multiLevelType w:val="hybridMultilevel"/>
    <w:tmpl w:val="898078A8"/>
    <w:lvl w:ilvl="0" w:tplc="EDE4E57C">
      <w:start w:val="1"/>
      <w:numFmt w:val="decimal"/>
      <w:lvlText w:val="%1."/>
      <w:lvlJc w:val="left"/>
      <w:pPr>
        <w:ind w:left="720" w:hanging="360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D242C84"/>
    <w:multiLevelType w:val="hybridMultilevel"/>
    <w:tmpl w:val="29E481E0"/>
    <w:lvl w:ilvl="0" w:tplc="43C2E2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123FED"/>
    <w:multiLevelType w:val="hybridMultilevel"/>
    <w:tmpl w:val="74486D32"/>
    <w:lvl w:ilvl="0" w:tplc="EDE4E57C">
      <w:start w:val="1"/>
      <w:numFmt w:val="decimal"/>
      <w:lvlText w:val="%1."/>
      <w:lvlJc w:val="left"/>
      <w:pPr>
        <w:ind w:left="1065" w:hanging="705"/>
      </w:pPr>
      <w:rPr>
        <w:rFonts w:ascii="Montserrat" w:hAnsi="Montserrat"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77E16"/>
    <w:multiLevelType w:val="hybridMultilevel"/>
    <w:tmpl w:val="AA90CB3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8E5898"/>
    <w:multiLevelType w:val="hybridMultilevel"/>
    <w:tmpl w:val="6EBCBD70"/>
    <w:lvl w:ilvl="0" w:tplc="82CA0C2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5E7EC3"/>
    <w:multiLevelType w:val="hybridMultilevel"/>
    <w:tmpl w:val="A23C3F36"/>
    <w:lvl w:ilvl="0" w:tplc="43C2E23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63468D9"/>
    <w:multiLevelType w:val="hybridMultilevel"/>
    <w:tmpl w:val="EA042A48"/>
    <w:lvl w:ilvl="0" w:tplc="A8D2E9BC">
      <w:start w:val="1"/>
      <w:numFmt w:val="decimal"/>
      <w:pStyle w:val="1"/>
      <w:lvlText w:val="%1."/>
      <w:lvlJc w:val="left"/>
      <w:pPr>
        <w:ind w:left="360" w:hanging="360"/>
      </w:pPr>
      <w:rPr>
        <w:rFonts w:ascii="Montserrat" w:hAnsi="Montserrat" w:hint="default"/>
        <w:b/>
        <w:i w:val="0"/>
        <w:sz w:val="16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9"/>
  </w:num>
  <w:num w:numId="2">
    <w:abstractNumId w:val="5"/>
  </w:num>
  <w:num w:numId="3">
    <w:abstractNumId w:val="4"/>
  </w:num>
  <w:num w:numId="4">
    <w:abstractNumId w:val="11"/>
  </w:num>
  <w:num w:numId="5">
    <w:abstractNumId w:val="10"/>
  </w:num>
  <w:num w:numId="6">
    <w:abstractNumId w:val="7"/>
  </w:num>
  <w:num w:numId="7">
    <w:abstractNumId w:val="3"/>
  </w:num>
  <w:num w:numId="8">
    <w:abstractNumId w:val="1"/>
  </w:num>
  <w:num w:numId="9">
    <w:abstractNumId w:val="6"/>
  </w:num>
  <w:num w:numId="10">
    <w:abstractNumId w:val="8"/>
  </w:num>
  <w:num w:numId="11">
    <w:abstractNumId w:val="2"/>
  </w:num>
  <w:num w:numId="12">
    <w:abstractNumId w:val="12"/>
  </w:num>
  <w:num w:numId="13">
    <w:abstractNumId w:val="12"/>
    <w:lvlOverride w:ilvl="0">
      <w:startOverride w:val="1"/>
    </w:lvlOverride>
  </w:num>
  <w:num w:numId="14">
    <w:abstractNumId w:val="12"/>
    <w:lvlOverride w:ilvl="0">
      <w:startOverride w:val="1"/>
    </w:lvlOverride>
  </w:num>
  <w:num w:numId="15">
    <w:abstractNumId w:val="0"/>
  </w:num>
  <w:num w:numId="16">
    <w:abstractNumId w:val="12"/>
    <w:lvlOverride w:ilvl="0">
      <w:startOverride w:val="1"/>
    </w:lvlOverride>
  </w:num>
  <w:num w:numId="17">
    <w:abstractNumId w:val="12"/>
    <w:lvlOverride w:ilvl="0">
      <w:startOverride w:val="1"/>
    </w:lvlOverride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defaultTabStop w:val="709"/>
  <w:defaultTableStyle w:val="a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F31"/>
    <w:rsid w:val="00017A0D"/>
    <w:rsid w:val="00023EAF"/>
    <w:rsid w:val="00031217"/>
    <w:rsid w:val="0003351F"/>
    <w:rsid w:val="0003357B"/>
    <w:rsid w:val="000570B1"/>
    <w:rsid w:val="00063428"/>
    <w:rsid w:val="00074AEE"/>
    <w:rsid w:val="000862DC"/>
    <w:rsid w:val="00092A57"/>
    <w:rsid w:val="00092C3D"/>
    <w:rsid w:val="000A70DA"/>
    <w:rsid w:val="000B5DDA"/>
    <w:rsid w:val="000D7177"/>
    <w:rsid w:val="00100D52"/>
    <w:rsid w:val="00122B90"/>
    <w:rsid w:val="00126067"/>
    <w:rsid w:val="001438E1"/>
    <w:rsid w:val="001617E4"/>
    <w:rsid w:val="001620DE"/>
    <w:rsid w:val="00173938"/>
    <w:rsid w:val="0019376B"/>
    <w:rsid w:val="001A3F7F"/>
    <w:rsid w:val="001B14E5"/>
    <w:rsid w:val="001D14F8"/>
    <w:rsid w:val="001D1ABB"/>
    <w:rsid w:val="001D2927"/>
    <w:rsid w:val="001D2E5A"/>
    <w:rsid w:val="001D2E61"/>
    <w:rsid w:val="001E5B78"/>
    <w:rsid w:val="001E6CF1"/>
    <w:rsid w:val="001F619F"/>
    <w:rsid w:val="00230966"/>
    <w:rsid w:val="002343D1"/>
    <w:rsid w:val="00250C76"/>
    <w:rsid w:val="00282AC3"/>
    <w:rsid w:val="0029250B"/>
    <w:rsid w:val="002B1C02"/>
    <w:rsid w:val="002E54F8"/>
    <w:rsid w:val="002F0069"/>
    <w:rsid w:val="00312B9D"/>
    <w:rsid w:val="00315762"/>
    <w:rsid w:val="00324C85"/>
    <w:rsid w:val="00344F3C"/>
    <w:rsid w:val="00345DE5"/>
    <w:rsid w:val="00350CC8"/>
    <w:rsid w:val="00356C25"/>
    <w:rsid w:val="00364EBD"/>
    <w:rsid w:val="0036789E"/>
    <w:rsid w:val="003851C4"/>
    <w:rsid w:val="00390E73"/>
    <w:rsid w:val="00396F86"/>
    <w:rsid w:val="003A29ED"/>
    <w:rsid w:val="003B3A17"/>
    <w:rsid w:val="003C2C41"/>
    <w:rsid w:val="003C6249"/>
    <w:rsid w:val="004070AC"/>
    <w:rsid w:val="004074F3"/>
    <w:rsid w:val="004246C8"/>
    <w:rsid w:val="004562E9"/>
    <w:rsid w:val="00482CD9"/>
    <w:rsid w:val="00483C6F"/>
    <w:rsid w:val="004A1533"/>
    <w:rsid w:val="004C4D73"/>
    <w:rsid w:val="004F4824"/>
    <w:rsid w:val="004F5C74"/>
    <w:rsid w:val="005020E3"/>
    <w:rsid w:val="00534575"/>
    <w:rsid w:val="00561A55"/>
    <w:rsid w:val="00566956"/>
    <w:rsid w:val="00572B83"/>
    <w:rsid w:val="00582F90"/>
    <w:rsid w:val="00593E26"/>
    <w:rsid w:val="00596E3B"/>
    <w:rsid w:val="005A6016"/>
    <w:rsid w:val="005B5159"/>
    <w:rsid w:val="005C4751"/>
    <w:rsid w:val="005C7303"/>
    <w:rsid w:val="005E291E"/>
    <w:rsid w:val="005E770E"/>
    <w:rsid w:val="005F1B6B"/>
    <w:rsid w:val="00605F31"/>
    <w:rsid w:val="00615639"/>
    <w:rsid w:val="006275B8"/>
    <w:rsid w:val="00631387"/>
    <w:rsid w:val="00635A13"/>
    <w:rsid w:val="0065084D"/>
    <w:rsid w:val="006525E8"/>
    <w:rsid w:val="0066047B"/>
    <w:rsid w:val="00665C0F"/>
    <w:rsid w:val="00673793"/>
    <w:rsid w:val="00682B53"/>
    <w:rsid w:val="00683E3B"/>
    <w:rsid w:val="00683F0E"/>
    <w:rsid w:val="00684892"/>
    <w:rsid w:val="006865A8"/>
    <w:rsid w:val="006A1DAF"/>
    <w:rsid w:val="006A52E9"/>
    <w:rsid w:val="006B0AA2"/>
    <w:rsid w:val="006B571D"/>
    <w:rsid w:val="006C4C61"/>
    <w:rsid w:val="006D1206"/>
    <w:rsid w:val="006D4728"/>
    <w:rsid w:val="006E0FDA"/>
    <w:rsid w:val="006E7897"/>
    <w:rsid w:val="007041B8"/>
    <w:rsid w:val="00706E7A"/>
    <w:rsid w:val="00714E9F"/>
    <w:rsid w:val="00724F5F"/>
    <w:rsid w:val="00730A01"/>
    <w:rsid w:val="00732A5A"/>
    <w:rsid w:val="007428D0"/>
    <w:rsid w:val="00746673"/>
    <w:rsid w:val="00787466"/>
    <w:rsid w:val="007B449B"/>
    <w:rsid w:val="007D0327"/>
    <w:rsid w:val="007D27EF"/>
    <w:rsid w:val="007E127F"/>
    <w:rsid w:val="007E65F9"/>
    <w:rsid w:val="0080215E"/>
    <w:rsid w:val="008078DB"/>
    <w:rsid w:val="00823D27"/>
    <w:rsid w:val="00826DE9"/>
    <w:rsid w:val="008530DE"/>
    <w:rsid w:val="008550A1"/>
    <w:rsid w:val="00865C42"/>
    <w:rsid w:val="008740A1"/>
    <w:rsid w:val="008752F5"/>
    <w:rsid w:val="008764D8"/>
    <w:rsid w:val="00882921"/>
    <w:rsid w:val="008A1B7A"/>
    <w:rsid w:val="008A74C9"/>
    <w:rsid w:val="008B15C2"/>
    <w:rsid w:val="008C1197"/>
    <w:rsid w:val="008C34C5"/>
    <w:rsid w:val="008C6C21"/>
    <w:rsid w:val="008E74DF"/>
    <w:rsid w:val="008F545A"/>
    <w:rsid w:val="00907361"/>
    <w:rsid w:val="00912219"/>
    <w:rsid w:val="00923988"/>
    <w:rsid w:val="00935B98"/>
    <w:rsid w:val="00941272"/>
    <w:rsid w:val="0094129D"/>
    <w:rsid w:val="00957413"/>
    <w:rsid w:val="00973106"/>
    <w:rsid w:val="009732EE"/>
    <w:rsid w:val="009851CE"/>
    <w:rsid w:val="00995BA8"/>
    <w:rsid w:val="009A325A"/>
    <w:rsid w:val="009C4836"/>
    <w:rsid w:val="009D3C26"/>
    <w:rsid w:val="009E1BDD"/>
    <w:rsid w:val="009F034B"/>
    <w:rsid w:val="00A003E1"/>
    <w:rsid w:val="00A0773D"/>
    <w:rsid w:val="00A41760"/>
    <w:rsid w:val="00A43186"/>
    <w:rsid w:val="00A6203F"/>
    <w:rsid w:val="00A729D0"/>
    <w:rsid w:val="00A75494"/>
    <w:rsid w:val="00A86D96"/>
    <w:rsid w:val="00AA0D8B"/>
    <w:rsid w:val="00AA4034"/>
    <w:rsid w:val="00AA7E8D"/>
    <w:rsid w:val="00AB073E"/>
    <w:rsid w:val="00AC07E5"/>
    <w:rsid w:val="00AD0BBC"/>
    <w:rsid w:val="00AD3DDC"/>
    <w:rsid w:val="00AD4D2D"/>
    <w:rsid w:val="00AD5726"/>
    <w:rsid w:val="00AD72DB"/>
    <w:rsid w:val="00AE31C7"/>
    <w:rsid w:val="00AE4FB1"/>
    <w:rsid w:val="00AF334C"/>
    <w:rsid w:val="00B136C6"/>
    <w:rsid w:val="00B200D2"/>
    <w:rsid w:val="00B2729D"/>
    <w:rsid w:val="00B504D4"/>
    <w:rsid w:val="00B674F7"/>
    <w:rsid w:val="00B703A5"/>
    <w:rsid w:val="00B810C7"/>
    <w:rsid w:val="00BA11F0"/>
    <w:rsid w:val="00BA12BE"/>
    <w:rsid w:val="00BA147D"/>
    <w:rsid w:val="00BB6E8F"/>
    <w:rsid w:val="00BC0CE6"/>
    <w:rsid w:val="00BC28D2"/>
    <w:rsid w:val="00BC3202"/>
    <w:rsid w:val="00BE1212"/>
    <w:rsid w:val="00BF0134"/>
    <w:rsid w:val="00C012CC"/>
    <w:rsid w:val="00C22FF6"/>
    <w:rsid w:val="00C27FF0"/>
    <w:rsid w:val="00C3361F"/>
    <w:rsid w:val="00C42B4C"/>
    <w:rsid w:val="00C63539"/>
    <w:rsid w:val="00C64AF3"/>
    <w:rsid w:val="00C745A2"/>
    <w:rsid w:val="00C8510E"/>
    <w:rsid w:val="00C9150A"/>
    <w:rsid w:val="00C92008"/>
    <w:rsid w:val="00C9317F"/>
    <w:rsid w:val="00CA5EBC"/>
    <w:rsid w:val="00CA6417"/>
    <w:rsid w:val="00CB1815"/>
    <w:rsid w:val="00CB212C"/>
    <w:rsid w:val="00CB69D7"/>
    <w:rsid w:val="00CC4B8D"/>
    <w:rsid w:val="00CC71D8"/>
    <w:rsid w:val="00CE6535"/>
    <w:rsid w:val="00CF0ACB"/>
    <w:rsid w:val="00D05B16"/>
    <w:rsid w:val="00D12D9E"/>
    <w:rsid w:val="00D1752E"/>
    <w:rsid w:val="00D27213"/>
    <w:rsid w:val="00D30AC2"/>
    <w:rsid w:val="00D41964"/>
    <w:rsid w:val="00D65E8D"/>
    <w:rsid w:val="00D9100F"/>
    <w:rsid w:val="00D967A1"/>
    <w:rsid w:val="00DA4D8C"/>
    <w:rsid w:val="00DB516F"/>
    <w:rsid w:val="00DC1422"/>
    <w:rsid w:val="00DE34A7"/>
    <w:rsid w:val="00E04511"/>
    <w:rsid w:val="00E306E2"/>
    <w:rsid w:val="00E326B1"/>
    <w:rsid w:val="00E372B6"/>
    <w:rsid w:val="00E43B29"/>
    <w:rsid w:val="00E63D74"/>
    <w:rsid w:val="00E64DE1"/>
    <w:rsid w:val="00E70778"/>
    <w:rsid w:val="00E7508F"/>
    <w:rsid w:val="00E865DE"/>
    <w:rsid w:val="00E956F2"/>
    <w:rsid w:val="00E97D9B"/>
    <w:rsid w:val="00EA3AF7"/>
    <w:rsid w:val="00EB5125"/>
    <w:rsid w:val="00EB62B4"/>
    <w:rsid w:val="00ED1E27"/>
    <w:rsid w:val="00EE0139"/>
    <w:rsid w:val="00EF3CF1"/>
    <w:rsid w:val="00EF6DCB"/>
    <w:rsid w:val="00F05BD9"/>
    <w:rsid w:val="00F07310"/>
    <w:rsid w:val="00F150D4"/>
    <w:rsid w:val="00F161CC"/>
    <w:rsid w:val="00F16916"/>
    <w:rsid w:val="00F16DAD"/>
    <w:rsid w:val="00F2096D"/>
    <w:rsid w:val="00F425AB"/>
    <w:rsid w:val="00F51AFD"/>
    <w:rsid w:val="00F561E3"/>
    <w:rsid w:val="00F87383"/>
    <w:rsid w:val="00FB0F11"/>
    <w:rsid w:val="00FB6B12"/>
    <w:rsid w:val="00FC3B4A"/>
    <w:rsid w:val="00FC657D"/>
    <w:rsid w:val="00FC6A6C"/>
    <w:rsid w:val="00FD1265"/>
    <w:rsid w:val="00FD3842"/>
    <w:rsid w:val="00FE50E7"/>
    <w:rsid w:val="00FF360E"/>
    <w:rsid w:val="00FF5641"/>
    <w:rsid w:val="00FF76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330"/>
  <w15:chartTrackingRefBased/>
  <w15:docId w15:val="{A908F7CA-F2E7-41DB-8643-49BDB655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508F"/>
    <w:pPr>
      <w:spacing w:after="0" w:line="240" w:lineRule="auto"/>
    </w:pPr>
    <w:rPr>
      <w:sz w:val="16"/>
    </w:rPr>
  </w:style>
  <w:style w:type="paragraph" w:styleId="10">
    <w:name w:val="heading 1"/>
    <w:basedOn w:val="a"/>
    <w:next w:val="a"/>
    <w:link w:val="11"/>
    <w:uiPriority w:val="9"/>
    <w:qFormat/>
    <w:rsid w:val="00DA4D8C"/>
    <w:pPr>
      <w:keepNext/>
      <w:keepLines/>
      <w:outlineLvl w:val="0"/>
    </w:pPr>
    <w:rPr>
      <w:rFonts w:eastAsiaTheme="majorEastAsia" w:cstheme="minorHAnsi"/>
      <w:b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B703A5"/>
    <w:pPr>
      <w:outlineLvl w:val="1"/>
    </w:pPr>
    <w:rPr>
      <w:color w:val="EF3124" w:themeColor="accent1"/>
      <w:sz w:val="24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787466"/>
    <w:pPr>
      <w:keepNext/>
      <w:keepLines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4">
    <w:name w:val="heading 4"/>
    <w:aliases w:val="Ссылка"/>
    <w:basedOn w:val="a"/>
    <w:next w:val="a"/>
    <w:link w:val="40"/>
    <w:uiPriority w:val="9"/>
    <w:unhideWhenUsed/>
    <w:qFormat/>
    <w:rsid w:val="00B504D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070C0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5F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1">
    <w:name w:val="Заголовок 1 Знак"/>
    <w:basedOn w:val="a0"/>
    <w:link w:val="10"/>
    <w:uiPriority w:val="9"/>
    <w:rsid w:val="00DA4D8C"/>
    <w:rPr>
      <w:rFonts w:eastAsiaTheme="majorEastAsia" w:cstheme="minorHAnsi"/>
      <w:b/>
      <w:sz w:val="24"/>
    </w:rPr>
  </w:style>
  <w:style w:type="character" w:styleId="a4">
    <w:name w:val="Hyperlink"/>
    <w:basedOn w:val="a0"/>
    <w:uiPriority w:val="99"/>
    <w:unhideWhenUsed/>
    <w:rsid w:val="00605F31"/>
    <w:rPr>
      <w:color w:val="003264" w:themeColor="hyperlink"/>
      <w:u w:val="single"/>
    </w:rPr>
  </w:style>
  <w:style w:type="paragraph" w:styleId="a5">
    <w:name w:val="List Paragraph"/>
    <w:basedOn w:val="a"/>
    <w:link w:val="a6"/>
    <w:uiPriority w:val="34"/>
    <w:qFormat/>
    <w:rsid w:val="00605F31"/>
    <w:pPr>
      <w:ind w:left="720"/>
      <w:contextualSpacing/>
    </w:pPr>
  </w:style>
  <w:style w:type="paragraph" w:customStyle="1" w:styleId="ConsPlusNormal">
    <w:name w:val="ConsPlusNormal"/>
    <w:rsid w:val="00D967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7">
    <w:name w:val="FollowedHyperlink"/>
    <w:basedOn w:val="a0"/>
    <w:uiPriority w:val="99"/>
    <w:semiHidden/>
    <w:unhideWhenUsed/>
    <w:rsid w:val="00A41760"/>
    <w:rPr>
      <w:color w:val="003264" w:themeColor="followedHyperlink"/>
      <w:u w:val="single"/>
    </w:rPr>
  </w:style>
  <w:style w:type="paragraph" w:styleId="a8">
    <w:name w:val="header"/>
    <w:basedOn w:val="a"/>
    <w:link w:val="a9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566956"/>
  </w:style>
  <w:style w:type="paragraph" w:styleId="aa">
    <w:name w:val="footer"/>
    <w:basedOn w:val="a"/>
    <w:link w:val="ab"/>
    <w:uiPriority w:val="99"/>
    <w:unhideWhenUsed/>
    <w:rsid w:val="00566956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566956"/>
  </w:style>
  <w:style w:type="paragraph" w:styleId="ac">
    <w:name w:val="No Spacing"/>
    <w:uiPriority w:val="1"/>
    <w:qFormat/>
    <w:rsid w:val="001B14E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B703A5"/>
    <w:rPr>
      <w:color w:val="EF3124" w:themeColor="accent1"/>
      <w:sz w:val="24"/>
      <w:szCs w:val="26"/>
    </w:rPr>
  </w:style>
  <w:style w:type="character" w:customStyle="1" w:styleId="30">
    <w:name w:val="Заголовок 3 Знак"/>
    <w:basedOn w:val="a0"/>
    <w:link w:val="3"/>
    <w:uiPriority w:val="9"/>
    <w:rsid w:val="00787466"/>
    <w:rPr>
      <w:rFonts w:asciiTheme="majorHAnsi" w:eastAsiaTheme="majorEastAsia" w:hAnsiTheme="majorHAnsi" w:cstheme="majorBidi"/>
      <w:b/>
      <w:sz w:val="18"/>
      <w:szCs w:val="24"/>
    </w:rPr>
  </w:style>
  <w:style w:type="paragraph" w:customStyle="1" w:styleId="1">
    <w:name w:val="Список 1"/>
    <w:basedOn w:val="a5"/>
    <w:link w:val="12"/>
    <w:qFormat/>
    <w:rsid w:val="00092C3D"/>
    <w:pPr>
      <w:numPr>
        <w:numId w:val="12"/>
      </w:numPr>
      <w:spacing w:before="160"/>
      <w:contextualSpacing w:val="0"/>
    </w:pPr>
  </w:style>
  <w:style w:type="paragraph" w:customStyle="1" w:styleId="13">
    <w:name w:val="Текст 1"/>
    <w:basedOn w:val="a"/>
    <w:link w:val="14"/>
    <w:qFormat/>
    <w:rsid w:val="00615639"/>
    <w:pPr>
      <w:spacing w:before="240"/>
      <w:jc w:val="both"/>
    </w:pPr>
    <w:rPr>
      <w:szCs w:val="18"/>
    </w:rPr>
  </w:style>
  <w:style w:type="character" w:customStyle="1" w:styleId="a6">
    <w:name w:val="Абзац списка Знак"/>
    <w:basedOn w:val="a0"/>
    <w:link w:val="a5"/>
    <w:uiPriority w:val="34"/>
    <w:rsid w:val="00615639"/>
    <w:rPr>
      <w:sz w:val="18"/>
    </w:rPr>
  </w:style>
  <w:style w:type="character" w:customStyle="1" w:styleId="12">
    <w:name w:val="Список 1 Знак"/>
    <w:basedOn w:val="a6"/>
    <w:link w:val="1"/>
    <w:rsid w:val="00092C3D"/>
    <w:rPr>
      <w:sz w:val="16"/>
    </w:rPr>
  </w:style>
  <w:style w:type="character" w:customStyle="1" w:styleId="14">
    <w:name w:val="Текст 1 Знак"/>
    <w:basedOn w:val="a0"/>
    <w:link w:val="13"/>
    <w:rsid w:val="00615639"/>
    <w:rPr>
      <w:sz w:val="18"/>
      <w:szCs w:val="18"/>
    </w:rPr>
  </w:style>
  <w:style w:type="character" w:customStyle="1" w:styleId="40">
    <w:name w:val="Заголовок 4 Знак"/>
    <w:aliases w:val="Ссылка Знак"/>
    <w:basedOn w:val="a0"/>
    <w:link w:val="4"/>
    <w:uiPriority w:val="9"/>
    <w:rsid w:val="00B504D4"/>
    <w:rPr>
      <w:rFonts w:asciiTheme="majorHAnsi" w:eastAsiaTheme="majorEastAsia" w:hAnsiTheme="majorHAnsi" w:cstheme="majorBidi"/>
      <w:i/>
      <w:iCs/>
      <w:color w:val="0070C0"/>
      <w:sz w:val="16"/>
      <w:u w:val="single"/>
    </w:rPr>
  </w:style>
  <w:style w:type="table" w:styleId="ad">
    <w:name w:val="Grid Table Light"/>
    <w:basedOn w:val="a1"/>
    <w:uiPriority w:val="40"/>
    <w:rsid w:val="00092C3D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e">
    <w:name w:val="endnote text"/>
    <w:basedOn w:val="a"/>
    <w:link w:val="af"/>
    <w:uiPriority w:val="99"/>
    <w:semiHidden/>
    <w:unhideWhenUsed/>
    <w:rsid w:val="00DE34A7"/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34A7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34A7"/>
    <w:rPr>
      <w:vertAlign w:val="superscript"/>
    </w:rPr>
  </w:style>
  <w:style w:type="paragraph" w:styleId="af1">
    <w:name w:val="footnote text"/>
    <w:basedOn w:val="a"/>
    <w:link w:val="af2"/>
    <w:uiPriority w:val="99"/>
    <w:semiHidden/>
    <w:unhideWhenUsed/>
    <w:rsid w:val="00DE34A7"/>
    <w:rPr>
      <w:sz w:val="20"/>
      <w:szCs w:val="20"/>
    </w:rPr>
  </w:style>
  <w:style w:type="character" w:customStyle="1" w:styleId="af2">
    <w:name w:val="Текст сноски Знак"/>
    <w:basedOn w:val="a0"/>
    <w:link w:val="af1"/>
    <w:uiPriority w:val="99"/>
    <w:semiHidden/>
    <w:rsid w:val="00DE34A7"/>
    <w:rPr>
      <w:sz w:val="20"/>
      <w:szCs w:val="20"/>
    </w:rPr>
  </w:style>
  <w:style w:type="character" w:styleId="af3">
    <w:name w:val="footnote reference"/>
    <w:basedOn w:val="a0"/>
    <w:uiPriority w:val="99"/>
    <w:semiHidden/>
    <w:unhideWhenUsed/>
    <w:rsid w:val="00DE34A7"/>
    <w:rPr>
      <w:vertAlign w:val="superscript"/>
    </w:rPr>
  </w:style>
  <w:style w:type="table" w:styleId="-11">
    <w:name w:val="Grid Table 1 Light Accent 1"/>
    <w:aliases w:val="Таблица-А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2" w:space="0" w:color="E0E6EC"/>
        <w:left w:val="single" w:sz="2" w:space="0" w:color="E0E6EC"/>
        <w:bottom w:val="single" w:sz="2" w:space="0" w:color="E0E6EC"/>
        <w:right w:val="single" w:sz="2" w:space="0" w:color="E0E6EC"/>
        <w:insideH w:val="single" w:sz="2" w:space="0" w:color="E0E6EC"/>
        <w:insideV w:val="single" w:sz="2" w:space="0" w:color="E0E6EC"/>
      </w:tblBorders>
    </w:tblPr>
    <w:tblStylePr w:type="firstRow">
      <w:pPr>
        <w:jc w:val="left"/>
      </w:pPr>
      <w:rPr>
        <w:b/>
        <w:bCs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lastRow">
      <w:rPr>
        <w:b/>
        <w:bCs/>
      </w:rPr>
      <w:tblPr/>
      <w:tcPr>
        <w:tcBorders>
          <w:top w:val="double" w:sz="2" w:space="0" w:color="F5837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  <w:tblStylePr w:type="band2Horz">
      <w:tblPr/>
      <w:tcPr>
        <w:shd w:val="clear" w:color="auto" w:fill="F5F7F9"/>
      </w:tcPr>
    </w:tblStylePr>
  </w:style>
  <w:style w:type="table" w:styleId="-12">
    <w:name w:val="Grid Table 1 Light Accent 2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C0C5CA" w:themeColor="accent2" w:themeTint="66"/>
        <w:left w:val="single" w:sz="4" w:space="0" w:color="C0C5CA" w:themeColor="accent2" w:themeTint="66"/>
        <w:bottom w:val="single" w:sz="4" w:space="0" w:color="C0C5CA" w:themeColor="accent2" w:themeTint="66"/>
        <w:right w:val="single" w:sz="4" w:space="0" w:color="C0C5CA" w:themeColor="accent2" w:themeTint="66"/>
        <w:insideH w:val="single" w:sz="4" w:space="0" w:color="C0C5CA" w:themeColor="accent2" w:themeTint="66"/>
        <w:insideV w:val="single" w:sz="4" w:space="0" w:color="C0C5CA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A0A8B0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0A8B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-1">
    <w:name w:val="Grid Table 1 Light"/>
    <w:basedOn w:val="a1"/>
    <w:uiPriority w:val="46"/>
    <w:rsid w:val="00684892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-">
    <w:name w:val="Стиль-А"/>
    <w:basedOn w:val="a1"/>
    <w:uiPriority w:val="99"/>
    <w:rsid w:val="00706E7A"/>
    <w:pPr>
      <w:spacing w:after="0" w:line="240" w:lineRule="auto"/>
    </w:pPr>
    <w:tblPr>
      <w:tblStyleRowBandSize w:val="1"/>
      <w:tblBorders>
        <w:top w:val="single" w:sz="2" w:space="0" w:color="F5F7F9"/>
        <w:left w:val="single" w:sz="2" w:space="0" w:color="F5F7F9"/>
        <w:bottom w:val="single" w:sz="2" w:space="0" w:color="F5F7F9"/>
        <w:right w:val="single" w:sz="2" w:space="0" w:color="F5F7F9"/>
        <w:insideH w:val="single" w:sz="2" w:space="0" w:color="F5F7F9"/>
        <w:insideV w:val="single" w:sz="2" w:space="0" w:color="F5F7F9"/>
      </w:tblBorders>
    </w:tblPr>
    <w:tblStylePr w:type="firstRow">
      <w:pPr>
        <w:jc w:val="left"/>
      </w:pPr>
      <w:rPr>
        <w:b/>
        <w:color w:val="FFFFFF" w:themeColor="background1"/>
      </w:rPr>
      <w:tblPr/>
      <w:tcPr>
        <w:shd w:val="clear" w:color="auto" w:fill="656F79" w:themeFill="accent2"/>
        <w:vAlign w:val="center"/>
      </w:tcPr>
    </w:tblStylePr>
    <w:tblStylePr w:type="band1Horz">
      <w:tblPr/>
      <w:tcPr>
        <w:shd w:val="clear" w:color="auto" w:fill="E0E6EC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1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9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8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1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1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lfacapital.ru/disclosure/pifs_closed/zpif_global/pif-rules" TargetMode="External"/><Relationship Id="rId13" Type="http://schemas.openxmlformats.org/officeDocument/2006/relationships/hyperlink" Target="http://www.rrost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specdep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alfacapital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http://www.alfacapital.ru" TargetMode="External"/><Relationship Id="rId4" Type="http://schemas.openxmlformats.org/officeDocument/2006/relationships/settings" Target="settings.xml"/><Relationship Id="rId9" Type="http://schemas.openxmlformats.org/officeDocument/2006/relationships/chart" Target="charts/chart1.xml"/><Relationship Id="rId14" Type="http://schemas.openxmlformats.org/officeDocument/2006/relationships/hyperlink" Target="http://www.cb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themeOverride" Target="../theme/themeOverride1.xm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oleObject" Target="file:///\\bro-ms-srv105\All_Folders\Portfolio%20Management\Dzhioev\&#1050;&#1048;&#1044;&#1099;\2024.12.28\2024.12.28%20&#1050;&#1048;&#1044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ДОХОДНОСТЬ!$O$137:$O$141</c:f>
              <c:strCache>
                <c:ptCount val="5"/>
                <c:pt idx="0">
                  <c:v>2020</c:v>
                </c:pt>
                <c:pt idx="1">
                  <c:v>2021</c:v>
                </c:pt>
                <c:pt idx="2">
                  <c:v>2022*</c:v>
                </c:pt>
                <c:pt idx="3">
                  <c:v>2023**</c:v>
                </c:pt>
                <c:pt idx="4">
                  <c:v>2024</c:v>
                </c:pt>
              </c:strCache>
            </c:strRef>
          </c:cat>
          <c:val>
            <c:numRef>
              <c:f>ДОХОДНОСТЬ!$P$137:$P$141</c:f>
              <c:numCache>
                <c:formatCode>0.0%</c:formatCode>
                <c:ptCount val="5"/>
                <c:pt idx="0">
                  <c:v>0.31935244207752955</c:v>
                </c:pt>
                <c:pt idx="1">
                  <c:v>0.10431474243098204</c:v>
                </c:pt>
                <c:pt idx="2">
                  <c:v>0.11552239829281041</c:v>
                </c:pt>
                <c:pt idx="3">
                  <c:v>-0.55892952720785016</c:v>
                </c:pt>
                <c:pt idx="4">
                  <c:v>-0.10900412587978325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D5F-4B71-B5BC-B8A8CCE4099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1443534400"/>
        <c:axId val="1443535232"/>
      </c:barChart>
      <c:catAx>
        <c:axId val="1443534400"/>
        <c:scaling>
          <c:orientation val="minMax"/>
        </c:scaling>
        <c:delete val="0"/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low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800" b="1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5232"/>
        <c:crosses val="autoZero"/>
        <c:auto val="1"/>
        <c:lblAlgn val="ctr"/>
        <c:lblOffset val="100"/>
        <c:noMultiLvlLbl val="0"/>
      </c:catAx>
      <c:valAx>
        <c:axId val="144353523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0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Montserrat" pitchFamily="2" charset="-52"/>
                <a:ea typeface="+mn-ea"/>
                <a:cs typeface="+mn-cs"/>
              </a:defRPr>
            </a:pPr>
            <a:endParaRPr lang="ru-RU"/>
          </a:p>
        </c:txPr>
        <c:crossAx val="144353440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noFill/>
      <a:round/>
    </a:ln>
    <a:effectLst/>
  </c:spPr>
  <c:txPr>
    <a:bodyPr/>
    <a:lstStyle/>
    <a:p>
      <a:pPr>
        <a:defRPr>
          <a:latin typeface="Montserrat" pitchFamily="2" charset="-52"/>
        </a:defRPr>
      </a:pPr>
      <a:endParaRPr lang="ru-RU"/>
    </a:p>
  </c:txPr>
  <c:externalData r:id="rId4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ALF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EF3124"/>
      </a:accent1>
      <a:accent2>
        <a:srgbClr val="656F79"/>
      </a:accent2>
      <a:accent3>
        <a:srgbClr val="848E98"/>
      </a:accent3>
      <a:accent4>
        <a:srgbClr val="ABB2B9"/>
      </a:accent4>
      <a:accent5>
        <a:srgbClr val="C4C9CE"/>
      </a:accent5>
      <a:accent6>
        <a:srgbClr val="EAEEF2"/>
      </a:accent6>
      <a:hlink>
        <a:srgbClr val="003264"/>
      </a:hlink>
      <a:folHlink>
        <a:srgbClr val="003264"/>
      </a:folHlink>
    </a:clrScheme>
    <a:fontScheme name="Альфа">
      <a:majorFont>
        <a:latin typeface="Montserrat"/>
        <a:ea typeface=""/>
        <a:cs typeface=""/>
      </a:majorFont>
      <a:minorFont>
        <a:latin typeface="Montserrat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word/theme/themeOverride1.xml><?xml version="1.0" encoding="utf-8"?>
<a:themeOverride xmlns:a="http://schemas.openxmlformats.org/drawingml/2006/main">
  <a:clrScheme name="Alfa">
    <a:dk1>
      <a:sysClr val="windowText" lastClr="000000"/>
    </a:dk1>
    <a:lt1>
      <a:sysClr val="window" lastClr="FFFFFF"/>
    </a:lt1>
    <a:dk2>
      <a:srgbClr val="0C0C0C"/>
    </a:dk2>
    <a:lt2>
      <a:srgbClr val="FFFFFF"/>
    </a:lt2>
    <a:accent1>
      <a:srgbClr val="FF0F00"/>
    </a:accent1>
    <a:accent2>
      <a:srgbClr val="818A8F"/>
    </a:accent2>
    <a:accent3>
      <a:srgbClr val="1E1E1E"/>
    </a:accent3>
    <a:accent4>
      <a:srgbClr val="FF7066"/>
    </a:accent4>
    <a:accent5>
      <a:srgbClr val="818A8F"/>
    </a:accent5>
    <a:accent6>
      <a:srgbClr val="FFA199"/>
    </a:accent6>
    <a:hlink>
      <a:srgbClr val="0000FF"/>
    </a:hlink>
    <a:folHlink>
      <a:srgbClr val="0000FF"/>
    </a:folHlink>
  </a:clrScheme>
  <a:fontScheme name="Стандартная">
    <a:majorFont>
      <a:latin typeface="Calibri Light" panose="020F0302020204030204"/>
      <a:ea typeface=""/>
      <a:cs typeface=""/>
      <a:font script="Jpan" typeface="游ゴシック Light"/>
      <a:font script="Hang" typeface="맑은 고딕"/>
      <a:font script="Hans" typeface="等线 Light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 panose="020F0502020204030204"/>
      <a:ea typeface=""/>
      <a:cs typeface=""/>
      <a:font script="Jpan" typeface="游ゴシック"/>
      <a:font script="Hang" typeface="맑은 고딕"/>
      <a:font script="Hans" typeface="等线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lumMod val="110000"/>
              <a:satMod val="105000"/>
              <a:tint val="67000"/>
            </a:schemeClr>
          </a:gs>
          <a:gs pos="50000">
            <a:schemeClr val="phClr">
              <a:lumMod val="105000"/>
              <a:satMod val="103000"/>
              <a:tint val="73000"/>
            </a:schemeClr>
          </a:gs>
          <a:gs pos="100000">
            <a:schemeClr val="phClr">
              <a:lumMod val="105000"/>
              <a:satMod val="109000"/>
              <a:tint val="81000"/>
            </a:schemeClr>
          </a:gs>
        </a:gsLst>
        <a:lin ang="5400000" scaled="0"/>
      </a:gradFill>
      <a:gradFill rotWithShape="1">
        <a:gsLst>
          <a:gs pos="0">
            <a:schemeClr val="phClr">
              <a:satMod val="103000"/>
              <a:lumMod val="102000"/>
              <a:tint val="94000"/>
            </a:schemeClr>
          </a:gs>
          <a:gs pos="50000">
            <a:schemeClr val="phClr">
              <a:satMod val="110000"/>
              <a:lumMod val="100000"/>
              <a:shade val="100000"/>
            </a:schemeClr>
          </a:gs>
          <a:gs pos="100000">
            <a:schemeClr val="phClr">
              <a:lumMod val="99000"/>
              <a:satMod val="120000"/>
              <a:shade val="78000"/>
            </a:schemeClr>
          </a:gs>
        </a:gsLst>
        <a:lin ang="5400000" scaled="0"/>
      </a:gradFill>
    </a:fillStyleLst>
    <a:lnStyleLst>
      <a:ln w="6350" cap="flat" cmpd="sng" algn="ctr">
        <a:solidFill>
          <a:schemeClr val="phClr"/>
        </a:solidFill>
        <a:prstDash val="solid"/>
        <a:miter lim="800000"/>
      </a:ln>
      <a:ln w="12700" cap="flat" cmpd="sng" algn="ctr">
        <a:solidFill>
          <a:schemeClr val="phClr"/>
        </a:solidFill>
        <a:prstDash val="solid"/>
        <a:miter lim="800000"/>
      </a:ln>
      <a:ln w="19050" cap="flat" cmpd="sng" algn="ctr">
        <a:solidFill>
          <a:schemeClr val="phClr"/>
        </a:solidFill>
        <a:prstDash val="solid"/>
        <a:miter lim="800000"/>
      </a:ln>
    </a:lnStyleLst>
    <a:effectStyleLst>
      <a:effectStyle>
        <a:effectLst/>
      </a:effectStyle>
      <a:effectStyle>
        <a:effectLst/>
      </a:effectStyle>
      <a:effectStyle>
        <a:effectLst>
          <a:outerShdw blurRad="57150" dist="19050" dir="5400000" algn="ctr" rotWithShape="0">
            <a:srgbClr val="000000">
              <a:alpha val="63000"/>
            </a:srgbClr>
          </a:outerShdw>
        </a:effectLst>
      </a:effectStyle>
    </a:effectStyleLst>
    <a:bgFillStyleLst>
      <a:solidFill>
        <a:schemeClr val="phClr"/>
      </a:solidFill>
      <a:solidFill>
        <a:schemeClr val="phClr">
          <a:tint val="95000"/>
          <a:satMod val="170000"/>
        </a:schemeClr>
      </a:solidFill>
      <a:gradFill rotWithShape="1">
        <a:gsLst>
          <a:gs pos="0">
            <a:schemeClr val="phClr">
              <a:tint val="93000"/>
              <a:satMod val="150000"/>
              <a:shade val="98000"/>
              <a:lumMod val="102000"/>
            </a:schemeClr>
          </a:gs>
          <a:gs pos="50000">
            <a:schemeClr val="phClr">
              <a:tint val="98000"/>
              <a:satMod val="130000"/>
              <a:shade val="90000"/>
              <a:lumMod val="103000"/>
            </a:schemeClr>
          </a:gs>
          <a:gs pos="100000">
            <a:schemeClr val="phClr">
              <a:shade val="63000"/>
              <a:satMod val="120000"/>
            </a:schemeClr>
          </a:gs>
        </a:gsLst>
        <a:lin ang="5400000" scaled="0"/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12E64-9040-4725-B8D5-2F178B287B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4</Pages>
  <Words>1087</Words>
  <Characters>6201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</Company>
  <LinksUpToDate>false</LinksUpToDate>
  <CharactersWithSpaces>7274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Джиоев Александр Валерьевич</dc:creator>
  <cp:keywords/>
  <dc:description/>
  <cp:lastModifiedBy>Джиоев Александр Валерьевич</cp:lastModifiedBy>
  <cp:revision>169</cp:revision>
  <dcterms:created xsi:type="dcterms:W3CDTF">2023-03-22T14:49:00Z</dcterms:created>
  <dcterms:modified xsi:type="dcterms:W3CDTF">2025-04-03T14:25:00Z</dcterms:modified>
</cp:coreProperties>
</file>