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Утверждено Приказом </w:t>
      </w:r>
    </w:p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Генерального директора </w:t>
      </w:r>
    </w:p>
    <w:p w:rsidR="001F2800" w:rsidRPr="00EF79A1" w:rsidRDefault="008D3634" w:rsidP="001F2800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№ </w:t>
      </w:r>
      <w:r w:rsidR="000B2226">
        <w:rPr>
          <w:b/>
          <w:sz w:val="22"/>
          <w:szCs w:val="22"/>
          <w:lang w:eastAsia="ru-RU"/>
        </w:rPr>
        <w:t>37</w:t>
      </w:r>
      <w:r w:rsidR="001F2800">
        <w:rPr>
          <w:b/>
          <w:sz w:val="22"/>
          <w:szCs w:val="22"/>
          <w:lang w:eastAsia="ru-RU"/>
        </w:rPr>
        <w:t>/2</w:t>
      </w:r>
      <w:r w:rsidR="00B97837">
        <w:rPr>
          <w:b/>
          <w:sz w:val="22"/>
          <w:szCs w:val="22"/>
          <w:lang w:eastAsia="ru-RU"/>
        </w:rPr>
        <w:t>5</w:t>
      </w:r>
      <w:r w:rsidR="001F2800" w:rsidRPr="00EF79A1">
        <w:rPr>
          <w:b/>
          <w:sz w:val="22"/>
          <w:szCs w:val="22"/>
          <w:lang w:eastAsia="ru-RU"/>
        </w:rPr>
        <w:t xml:space="preserve"> от </w:t>
      </w:r>
      <w:r w:rsidR="00B97837">
        <w:rPr>
          <w:b/>
          <w:sz w:val="22"/>
          <w:szCs w:val="22"/>
          <w:lang w:eastAsia="ru-RU"/>
        </w:rPr>
        <w:t>01</w:t>
      </w:r>
      <w:r w:rsidR="001F2800">
        <w:rPr>
          <w:b/>
          <w:sz w:val="22"/>
          <w:szCs w:val="22"/>
          <w:lang w:eastAsia="ru-RU"/>
        </w:rPr>
        <w:t xml:space="preserve"> </w:t>
      </w:r>
      <w:r w:rsidR="00B97837">
        <w:rPr>
          <w:b/>
          <w:sz w:val="22"/>
          <w:szCs w:val="22"/>
          <w:lang w:eastAsia="ru-RU"/>
        </w:rPr>
        <w:t>апреля</w:t>
      </w:r>
      <w:r w:rsidR="001F2800">
        <w:rPr>
          <w:b/>
          <w:sz w:val="22"/>
          <w:szCs w:val="22"/>
          <w:lang w:eastAsia="ru-RU"/>
        </w:rPr>
        <w:t xml:space="preserve"> 202</w:t>
      </w:r>
      <w:r w:rsidR="00B97837">
        <w:rPr>
          <w:b/>
          <w:sz w:val="22"/>
          <w:szCs w:val="22"/>
          <w:lang w:eastAsia="ru-RU"/>
        </w:rPr>
        <w:t>5</w:t>
      </w:r>
      <w:r w:rsidR="001F2800" w:rsidRPr="00EF79A1">
        <w:rPr>
          <w:b/>
          <w:sz w:val="22"/>
          <w:szCs w:val="22"/>
          <w:lang w:eastAsia="ru-RU"/>
        </w:rPr>
        <w:t xml:space="preserve"> года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  <w:r w:rsidRPr="00EF79A1">
        <w:rPr>
          <w:b/>
          <w:bCs/>
          <w:sz w:val="22"/>
          <w:szCs w:val="22"/>
        </w:rPr>
        <w:t xml:space="preserve">Изменения и дополнения № </w:t>
      </w:r>
      <w:r w:rsidR="009F3C44">
        <w:rPr>
          <w:b/>
          <w:bCs/>
          <w:sz w:val="22"/>
          <w:szCs w:val="22"/>
        </w:rPr>
        <w:t>3</w:t>
      </w:r>
      <w:r w:rsidR="00B97837">
        <w:rPr>
          <w:b/>
          <w:bCs/>
          <w:sz w:val="22"/>
          <w:szCs w:val="22"/>
        </w:rPr>
        <w:t>8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  <w:r w:rsidRPr="00EF79A1">
        <w:rPr>
          <w:b/>
          <w:bCs/>
          <w:sz w:val="22"/>
          <w:szCs w:val="22"/>
        </w:rPr>
        <w:t>в правила доверительного управления</w:t>
      </w:r>
    </w:p>
    <w:p w:rsidR="001F2800" w:rsidRPr="00EF79A1" w:rsidRDefault="001F2800" w:rsidP="001F2800">
      <w:pPr>
        <w:spacing w:after="60"/>
        <w:ind w:firstLine="567"/>
        <w:contextualSpacing/>
        <w:jc w:val="center"/>
        <w:rPr>
          <w:b/>
          <w:bCs/>
          <w:sz w:val="22"/>
          <w:szCs w:val="22"/>
        </w:rPr>
      </w:pPr>
      <w:r w:rsidRPr="00EF79A1">
        <w:rPr>
          <w:b/>
          <w:bCs/>
          <w:sz w:val="22"/>
          <w:szCs w:val="22"/>
        </w:rPr>
        <w:t>Открытым паевым инвестиционным фондом</w:t>
      </w:r>
    </w:p>
    <w:p w:rsidR="001F2800" w:rsidRPr="00EF79A1" w:rsidRDefault="001F2800" w:rsidP="001F2800">
      <w:pPr>
        <w:spacing w:after="60"/>
        <w:ind w:firstLine="567"/>
        <w:contextualSpacing/>
        <w:jc w:val="center"/>
        <w:rPr>
          <w:bCs/>
          <w:sz w:val="22"/>
          <w:szCs w:val="22"/>
          <w:lang w:eastAsia="ru-RU"/>
        </w:rPr>
      </w:pPr>
      <w:r w:rsidRPr="00EF79A1">
        <w:rPr>
          <w:b/>
          <w:bCs/>
          <w:sz w:val="22"/>
          <w:szCs w:val="22"/>
        </w:rPr>
        <w:t>рыночных финансовых инструментов «Альфа-Капитал</w:t>
      </w:r>
      <w:r>
        <w:rPr>
          <w:b/>
          <w:bCs/>
          <w:sz w:val="22"/>
          <w:szCs w:val="22"/>
        </w:rPr>
        <w:t xml:space="preserve"> Баланс</w:t>
      </w:r>
      <w:r w:rsidRPr="00EF79A1">
        <w:rPr>
          <w:b/>
          <w:bCs/>
          <w:sz w:val="22"/>
          <w:szCs w:val="22"/>
        </w:rPr>
        <w:t>»</w:t>
      </w:r>
      <w:r w:rsidRPr="00EF79A1">
        <w:rPr>
          <w:bCs/>
          <w:sz w:val="22"/>
          <w:szCs w:val="22"/>
          <w:lang w:eastAsia="ru-RU"/>
        </w:rPr>
        <w:t xml:space="preserve"> </w:t>
      </w:r>
    </w:p>
    <w:p w:rsidR="001F2800" w:rsidRPr="00DB37EB" w:rsidRDefault="001F2800" w:rsidP="001F2800">
      <w:pPr>
        <w:jc w:val="center"/>
        <w:rPr>
          <w:sz w:val="22"/>
          <w:szCs w:val="22"/>
        </w:rPr>
      </w:pPr>
      <w:r w:rsidRPr="00DB37EB">
        <w:rPr>
          <w:bCs/>
          <w:sz w:val="22"/>
          <w:szCs w:val="22"/>
        </w:rPr>
        <w:t>(Правила зарегистрированы ФСФР России 13 апреля 2006 года за № 0500-94103344)</w:t>
      </w:r>
    </w:p>
    <w:p w:rsidR="001F2800" w:rsidRPr="00EF79A1" w:rsidRDefault="001F2800" w:rsidP="009A31CF">
      <w:pPr>
        <w:tabs>
          <w:tab w:val="left" w:pos="567"/>
          <w:tab w:val="left" w:pos="851"/>
        </w:tabs>
        <w:ind w:firstLine="426"/>
        <w:jc w:val="both"/>
        <w:rPr>
          <w:b/>
          <w:sz w:val="22"/>
          <w:szCs w:val="22"/>
          <w:lang w:eastAsia="zh-CN"/>
        </w:rPr>
      </w:pPr>
      <w:r w:rsidRPr="00EF79A1">
        <w:rPr>
          <w:b/>
          <w:sz w:val="22"/>
          <w:szCs w:val="22"/>
          <w:lang w:eastAsia="zh-CN"/>
        </w:rPr>
        <w:t xml:space="preserve">  </w:t>
      </w: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4678"/>
      </w:tblGrid>
      <w:tr w:rsidR="001F2800" w:rsidRPr="00F314A0" w:rsidTr="001F28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8D363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Прежняя редакция</w:t>
            </w:r>
          </w:p>
          <w:p w:rsidR="001F2800" w:rsidRPr="00F314A0" w:rsidRDefault="001F2800" w:rsidP="008D3634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8D363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Новая редакция</w:t>
            </w:r>
          </w:p>
        </w:tc>
      </w:tr>
      <w:tr w:rsidR="001F2800" w:rsidRPr="00F314A0" w:rsidTr="00493699">
        <w:trPr>
          <w:trHeight w:val="452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Pr="00CD1261" w:rsidRDefault="00DC1925" w:rsidP="00A10A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D1261">
              <w:rPr>
                <w:b/>
                <w:sz w:val="22"/>
                <w:szCs w:val="22"/>
              </w:rPr>
              <w:t>1</w:t>
            </w:r>
            <w:r w:rsidR="001F2800" w:rsidRPr="00CD1261">
              <w:rPr>
                <w:b/>
                <w:sz w:val="22"/>
                <w:szCs w:val="22"/>
              </w:rPr>
              <w:t xml:space="preserve">. </w:t>
            </w:r>
            <w:r w:rsidR="00A10AA9" w:rsidRPr="00CD1261">
              <w:rPr>
                <w:b/>
                <w:sz w:val="22"/>
                <w:szCs w:val="22"/>
              </w:rPr>
              <w:t xml:space="preserve">Прежняя редакция п. 42 правил доверительного управления фонда: </w:t>
            </w: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261">
              <w:rPr>
                <w:sz w:val="22"/>
                <w:szCs w:val="22"/>
              </w:rPr>
              <w:t>«42. Выдача инвестиционных паёв осуществляется на основании заявки на приобретение инвестиционных паёв, содержащей обязательные сведения, включаемые в заявку на приобретение инвестиционных паёв согласно приложению.</w:t>
            </w: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261">
              <w:rPr>
                <w:sz w:val="22"/>
                <w:szCs w:val="22"/>
              </w:rPr>
              <w:t xml:space="preserve">     Каждая заявка на приобретение инвестиционных паёв предусматривает выдачу инвестиционных паёв при каждом поступлении денежных средств в оплату инвестиционных паёв.».</w:t>
            </w: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0AA9" w:rsidRPr="00CD1261" w:rsidRDefault="00A10AA9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D1261">
              <w:rPr>
                <w:b/>
                <w:sz w:val="22"/>
                <w:szCs w:val="22"/>
              </w:rPr>
              <w:t>2. Отсутствует.</w:t>
            </w: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Pr="00CD1261" w:rsidRDefault="007B5CC5" w:rsidP="009A3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5CC5" w:rsidRDefault="007B5CC5" w:rsidP="00F04C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D1261">
              <w:rPr>
                <w:b/>
                <w:sz w:val="22"/>
                <w:szCs w:val="22"/>
              </w:rPr>
              <w:t xml:space="preserve">3. </w:t>
            </w:r>
            <w:r w:rsidR="00CD1261" w:rsidRPr="00CD1261">
              <w:rPr>
                <w:b/>
                <w:sz w:val="22"/>
                <w:szCs w:val="22"/>
              </w:rPr>
              <w:t xml:space="preserve">Отсутствует. </w:t>
            </w: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1261" w:rsidRDefault="00CD1261" w:rsidP="00CD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B5CC5" w:rsidRDefault="007B5CC5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CD1261" w:rsidRPr="00CD12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Отсутствует. </w:t>
            </w:r>
            <w:bookmarkStart w:id="0" w:name="_GoBack"/>
            <w:r w:rsidR="00CD1261" w:rsidRPr="00CD12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bookmarkEnd w:id="0"/>
          </w:p>
          <w:p w:rsidR="00CD1261" w:rsidRDefault="00CD1261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1261" w:rsidRDefault="00CD1261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1261" w:rsidRDefault="00CD1261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1261" w:rsidRDefault="00CD1261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1261" w:rsidRDefault="00CD1261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120B" w:rsidRDefault="00C7120B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1261" w:rsidRDefault="00CD1261" w:rsidP="009A3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1261" w:rsidRDefault="008F4AA7" w:rsidP="00CD12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</w:t>
            </w:r>
            <w:r w:rsidR="00ED5031">
              <w:rPr>
                <w:rFonts w:ascii="Times New Roman" w:hAnsi="Times New Roman" w:cs="Times New Roman"/>
                <w:b/>
                <w:sz w:val="22"/>
                <w:szCs w:val="22"/>
              </w:rPr>
              <w:t>Прежняя редакция п. 87.1 правил доверительного управления фонда:</w:t>
            </w:r>
          </w:p>
          <w:p w:rsidR="00ED5031" w:rsidRDefault="00ED5031" w:rsidP="00CD12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D5031" w:rsidRPr="00DC566A" w:rsidRDefault="00ED5031" w:rsidP="00ED5031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48075C">
              <w:rPr>
                <w:sz w:val="22"/>
                <w:szCs w:val="22"/>
              </w:rPr>
              <w:t>«</w:t>
            </w:r>
            <w:r w:rsidR="0048075C" w:rsidRPr="0048075C">
              <w:rPr>
                <w:sz w:val="22"/>
                <w:szCs w:val="22"/>
              </w:rPr>
              <w:t xml:space="preserve">87.1. </w:t>
            </w:r>
            <w:r w:rsidRPr="0048075C">
              <w:rPr>
                <w:sz w:val="22"/>
                <w:szCs w:val="22"/>
              </w:rPr>
              <w:t>Заявки</w:t>
            </w:r>
            <w:r w:rsidRPr="00DC566A">
              <w:rPr>
                <w:sz w:val="22"/>
                <w:szCs w:val="22"/>
              </w:rPr>
              <w:t xml:space="preserve"> на обмен инвестиционных паев физическими лицами могут направляться в </w:t>
            </w:r>
            <w:r w:rsidRPr="00DC566A">
              <w:rPr>
                <w:sz w:val="22"/>
                <w:szCs w:val="22"/>
              </w:rPr>
              <w:lastRenderedPageBreak/>
              <w:t xml:space="preserve">управляющую компанию в виде электронного документа в Личном кабинете или мобильном приложении «Альфа-Капитал». </w:t>
            </w:r>
          </w:p>
          <w:p w:rsidR="00ED5031" w:rsidRPr="00DC566A" w:rsidRDefault="00ED5031" w:rsidP="00ED5031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Условия приема заявки на обмен инвестиционных паев физическими лицами в виде электронного документа:</w:t>
            </w:r>
          </w:p>
          <w:p w:rsidR="00ED5031" w:rsidRPr="00DC566A" w:rsidRDefault="00ED5031" w:rsidP="00ED5031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:rsidR="00ED5031" w:rsidRPr="00DC566A" w:rsidRDefault="00ED5031" w:rsidP="00ED5031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ED5031" w:rsidRPr="00DC566A" w:rsidRDefault="00ED5031" w:rsidP="00ED5031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Обязательным условием использования Личного кабинета или мобильного приложения «Альфа-Капитал» является успешное прохождение процедуры идентификации или упрощенной идентификации физическим лицом.</w:t>
            </w:r>
          </w:p>
          <w:p w:rsidR="00ED5031" w:rsidRDefault="00ED5031" w:rsidP="00ED5031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Датой и временем приема заявки на обмен инвестиционных паев, полученной с использованием Личного кабинета или мобильного приложения «Альфа-Капитал», считается дата и время получения электронного документа управляющей компанией.</w:t>
            </w:r>
            <w:r>
              <w:rPr>
                <w:sz w:val="22"/>
                <w:szCs w:val="22"/>
              </w:rPr>
              <w:t>».</w:t>
            </w:r>
          </w:p>
          <w:p w:rsidR="00ED5031" w:rsidRDefault="00ED5031" w:rsidP="00ED5031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</w:p>
          <w:p w:rsidR="00ED5031" w:rsidRDefault="00ED5031" w:rsidP="00ED5031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</w:p>
          <w:p w:rsidR="00ED5031" w:rsidRDefault="00ED5031" w:rsidP="00ED5031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</w:p>
          <w:p w:rsidR="00ED5031" w:rsidRDefault="00ED5031" w:rsidP="00ED5031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ED5031" w:rsidRDefault="00ED5031" w:rsidP="00ED5031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ED5031" w:rsidRDefault="00ED5031" w:rsidP="00ED5031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ED5031" w:rsidRDefault="00ED5031" w:rsidP="00ED5031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ED5031" w:rsidRDefault="00ED5031" w:rsidP="00ED5031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D5031">
              <w:rPr>
                <w:b/>
                <w:sz w:val="22"/>
                <w:szCs w:val="22"/>
              </w:rPr>
              <w:t xml:space="preserve">6. Текущая нумерация </w:t>
            </w:r>
            <w:proofErr w:type="spellStart"/>
            <w:r w:rsidRPr="00ED5031">
              <w:rPr>
                <w:b/>
                <w:sz w:val="22"/>
                <w:szCs w:val="22"/>
                <w:lang w:eastAsia="zh-CN"/>
              </w:rPr>
              <w:t>пп</w:t>
            </w:r>
            <w:proofErr w:type="spellEnd"/>
            <w:r w:rsidRPr="00ED5031">
              <w:rPr>
                <w:b/>
                <w:sz w:val="22"/>
                <w:szCs w:val="22"/>
                <w:lang w:eastAsia="zh-CN"/>
              </w:rPr>
              <w:t>. 87.1</w:t>
            </w:r>
            <w:r>
              <w:rPr>
                <w:b/>
                <w:sz w:val="22"/>
                <w:szCs w:val="22"/>
                <w:lang w:eastAsia="zh-CN"/>
              </w:rPr>
              <w:t xml:space="preserve"> – 87.3 правил доверительного управления фонда </w:t>
            </w:r>
          </w:p>
          <w:p w:rsidR="00ED5031" w:rsidRDefault="00ED5031" w:rsidP="00CD12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4AA7" w:rsidRPr="00CD1261" w:rsidRDefault="008F4AA7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F4AA7" w:rsidRPr="00CD1261" w:rsidRDefault="008F4AA7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42FA0" w:rsidRPr="00CD1261" w:rsidRDefault="00442FA0" w:rsidP="00CD126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DC1925" w:rsidP="0049369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lastRenderedPageBreak/>
              <w:t>1</w:t>
            </w:r>
            <w:r w:rsidR="00493699">
              <w:rPr>
                <w:b/>
                <w:sz w:val="22"/>
                <w:szCs w:val="22"/>
                <w:lang w:eastAsia="zh-CN"/>
              </w:rPr>
              <w:t xml:space="preserve">. </w:t>
            </w:r>
            <w:r w:rsidR="00A10AA9">
              <w:rPr>
                <w:b/>
                <w:sz w:val="22"/>
                <w:szCs w:val="22"/>
                <w:lang w:eastAsia="zh-CN"/>
              </w:rPr>
              <w:t xml:space="preserve">Изложить п. 42 </w:t>
            </w:r>
            <w:r w:rsidR="00A10AA9" w:rsidRPr="00A10AA9">
              <w:rPr>
                <w:b/>
                <w:sz w:val="22"/>
                <w:szCs w:val="22"/>
                <w:lang w:eastAsia="zh-CN"/>
              </w:rPr>
              <w:t>правил доверительного управления фонда</w:t>
            </w:r>
            <w:r w:rsidR="00A10AA9">
              <w:rPr>
                <w:b/>
                <w:sz w:val="22"/>
                <w:szCs w:val="22"/>
                <w:lang w:eastAsia="zh-CN"/>
              </w:rPr>
              <w:t xml:space="preserve"> в новой редакции:</w:t>
            </w:r>
          </w:p>
          <w:p w:rsidR="00A10AA9" w:rsidRDefault="00A10AA9" w:rsidP="009A31CF">
            <w:pPr>
              <w:jc w:val="both"/>
              <w:rPr>
                <w:sz w:val="22"/>
                <w:szCs w:val="22"/>
              </w:rPr>
            </w:pPr>
            <w:r w:rsidRPr="009A31CF">
              <w:rPr>
                <w:sz w:val="22"/>
                <w:szCs w:val="22"/>
                <w:lang w:eastAsia="zh-CN"/>
              </w:rPr>
              <w:t>«</w:t>
            </w:r>
            <w:r w:rsidRPr="00BB22BA">
              <w:rPr>
                <w:sz w:val="22"/>
                <w:szCs w:val="22"/>
              </w:rPr>
              <w:t>42. Выдача инвестиционных паёв осуществляется на основании заявки на приобретение инвестиционных паёв, содержащей обязательные сведения, включаемые в заявку на приобретение инвестиционных паёв согласно приложени</w:t>
            </w:r>
            <w:r>
              <w:rPr>
                <w:sz w:val="22"/>
                <w:szCs w:val="22"/>
              </w:rPr>
              <w:t>ям к Правилам</w:t>
            </w:r>
            <w:r w:rsidRPr="00BB22BA">
              <w:rPr>
                <w:sz w:val="22"/>
                <w:szCs w:val="22"/>
              </w:rPr>
              <w:t>.</w:t>
            </w:r>
          </w:p>
          <w:p w:rsidR="00A10AA9" w:rsidRPr="00470753" w:rsidRDefault="00A10AA9" w:rsidP="00A10AA9">
            <w:pPr>
              <w:ind w:firstLine="567"/>
              <w:jc w:val="both"/>
              <w:rPr>
                <w:sz w:val="22"/>
                <w:szCs w:val="22"/>
              </w:rPr>
            </w:pPr>
            <w:r w:rsidRPr="00470753">
              <w:rPr>
                <w:sz w:val="22"/>
                <w:szCs w:val="22"/>
              </w:rPr>
              <w:t>Каждая заявка на приобретение инвестиционных паёв предусматривает выдачу инвестиционных паёв при каждом поступлении денежных средств в оплату инвестиционных паёв, за исключением заявки на приобретение инвестиционных паев номинальным держателем посредством Финансовой платформы.</w:t>
            </w:r>
            <w:r>
              <w:rPr>
                <w:sz w:val="22"/>
                <w:szCs w:val="22"/>
              </w:rPr>
              <w:t>».</w:t>
            </w:r>
          </w:p>
          <w:p w:rsidR="00A10AA9" w:rsidRDefault="00A10AA9" w:rsidP="0049369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  <w:p w:rsidR="00A10AA9" w:rsidRDefault="00A10AA9" w:rsidP="0049369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2. Дополнить правила </w:t>
            </w:r>
            <w:r w:rsidRPr="00A10AA9">
              <w:rPr>
                <w:b/>
                <w:sz w:val="22"/>
                <w:szCs w:val="22"/>
                <w:lang w:eastAsia="zh-CN"/>
              </w:rPr>
              <w:t>доверительного управления фонда</w:t>
            </w:r>
            <w:r>
              <w:rPr>
                <w:b/>
                <w:sz w:val="22"/>
                <w:szCs w:val="22"/>
                <w:lang w:eastAsia="zh-CN"/>
              </w:rPr>
              <w:t xml:space="preserve"> п.42.1 следующего содержания:</w:t>
            </w:r>
          </w:p>
          <w:p w:rsidR="00A10AA9" w:rsidRDefault="00A10AA9" w:rsidP="009A31CF">
            <w:pPr>
              <w:jc w:val="both"/>
              <w:rPr>
                <w:sz w:val="22"/>
                <w:szCs w:val="22"/>
              </w:rPr>
            </w:pPr>
            <w:r w:rsidRPr="009A31CF">
              <w:rPr>
                <w:sz w:val="22"/>
                <w:szCs w:val="22"/>
                <w:lang w:eastAsia="zh-CN"/>
              </w:rPr>
              <w:t>«</w:t>
            </w:r>
            <w:r w:rsidRPr="009A31CF">
              <w:rPr>
                <w:sz w:val="22"/>
                <w:szCs w:val="22"/>
              </w:rPr>
              <w:t>4</w:t>
            </w:r>
            <w:r w:rsidRPr="00470753">
              <w:rPr>
                <w:sz w:val="22"/>
                <w:szCs w:val="22"/>
              </w:rPr>
              <w:t xml:space="preserve">2.1. Выдача инвестиционных паёв на основании заявки на приобретение инвестиционных паёв номинальным держателем, поданной посредством Финансовой платформы, осуществляется </w:t>
            </w:r>
            <w:proofErr w:type="spellStart"/>
            <w:r w:rsidRPr="00470753">
              <w:rPr>
                <w:sz w:val="22"/>
                <w:szCs w:val="22"/>
              </w:rPr>
              <w:t>единоразово</w:t>
            </w:r>
            <w:proofErr w:type="spellEnd"/>
            <w:r w:rsidRPr="00470753">
              <w:rPr>
                <w:sz w:val="22"/>
                <w:szCs w:val="22"/>
              </w:rPr>
              <w:t>. Для каждой последующей выдачи инвестиционных паев, номинальный держатель подает новую заявку на приобретение инвестиционных паев посредством Финансовой платформы.</w:t>
            </w:r>
            <w:r w:rsidR="007B5CC5">
              <w:rPr>
                <w:sz w:val="22"/>
                <w:szCs w:val="22"/>
              </w:rPr>
              <w:t>».</w:t>
            </w:r>
            <w:r w:rsidRPr="00470753">
              <w:rPr>
                <w:sz w:val="22"/>
                <w:szCs w:val="22"/>
              </w:rPr>
              <w:t xml:space="preserve">  </w:t>
            </w:r>
          </w:p>
          <w:p w:rsidR="007B5CC5" w:rsidRDefault="007B5CC5" w:rsidP="009A31CF">
            <w:pPr>
              <w:jc w:val="both"/>
              <w:rPr>
                <w:sz w:val="22"/>
                <w:szCs w:val="22"/>
              </w:rPr>
            </w:pPr>
          </w:p>
          <w:p w:rsidR="00CD1261" w:rsidRDefault="007B5CC5" w:rsidP="00CD126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 w:rsidRPr="009A31CF">
              <w:rPr>
                <w:b/>
                <w:sz w:val="22"/>
                <w:szCs w:val="22"/>
              </w:rPr>
              <w:t xml:space="preserve">3. </w:t>
            </w:r>
            <w:r w:rsidR="00CD1261">
              <w:rPr>
                <w:b/>
                <w:sz w:val="22"/>
                <w:szCs w:val="22"/>
                <w:lang w:eastAsia="zh-CN"/>
              </w:rPr>
              <w:t xml:space="preserve">Дополнить правила </w:t>
            </w:r>
            <w:r w:rsidR="00CD1261" w:rsidRPr="00A10AA9">
              <w:rPr>
                <w:b/>
                <w:sz w:val="22"/>
                <w:szCs w:val="22"/>
                <w:lang w:eastAsia="zh-CN"/>
              </w:rPr>
              <w:t>доверительного управления фонда</w:t>
            </w:r>
            <w:r w:rsidR="00CD1261">
              <w:rPr>
                <w:b/>
                <w:sz w:val="22"/>
                <w:szCs w:val="22"/>
                <w:lang w:eastAsia="zh-CN"/>
              </w:rPr>
              <w:t xml:space="preserve"> п.48.1.1 следующего содержания:</w:t>
            </w:r>
          </w:p>
          <w:p w:rsidR="007B5CC5" w:rsidRDefault="007B5CC5" w:rsidP="00CD1261">
            <w:pPr>
              <w:jc w:val="both"/>
              <w:rPr>
                <w:b/>
                <w:sz w:val="22"/>
                <w:szCs w:val="22"/>
              </w:rPr>
            </w:pPr>
          </w:p>
          <w:p w:rsidR="00CD1261" w:rsidRPr="009B7927" w:rsidRDefault="00CD1261" w:rsidP="00CD1261">
            <w:pPr>
              <w:pStyle w:val="ConsPlusNormal"/>
              <w:ind w:firstLine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126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B22BA">
              <w:rPr>
                <w:rFonts w:ascii="Times New Roman CYR" w:hAnsi="Times New Roman CYR" w:cs="Times New Roman CYR"/>
                <w:sz w:val="22"/>
                <w:szCs w:val="22"/>
              </w:rPr>
              <w:t>48.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1.1. </w:t>
            </w:r>
            <w:r w:rsidRPr="009B7927">
              <w:rPr>
                <w:rFonts w:ascii="Times New Roman CYR" w:hAnsi="Times New Roman CYR" w:cs="Times New Roman CYR"/>
                <w:sz w:val="22"/>
                <w:szCs w:val="22"/>
              </w:rPr>
              <w:t xml:space="preserve">Заявки на приобретение инвестиционных паев номинальным держателем могут направляться в управляющую компанию в виде электронного документа посредством использования «Финансовой платформы </w:t>
            </w:r>
            <w:proofErr w:type="spellStart"/>
            <w:r w:rsidRPr="009B7927">
              <w:rPr>
                <w:rFonts w:ascii="Times New Roman CYR" w:hAnsi="Times New Roman CYR" w:cs="Times New Roman CYR"/>
                <w:sz w:val="22"/>
                <w:szCs w:val="22"/>
              </w:rPr>
              <w:t>Финуслуги</w:t>
            </w:r>
            <w:proofErr w:type="spellEnd"/>
            <w:r w:rsidRPr="009B7927">
              <w:rPr>
                <w:rFonts w:ascii="Times New Roman CYR" w:hAnsi="Times New Roman CYR" w:cs="Times New Roman CYR"/>
                <w:sz w:val="22"/>
                <w:szCs w:val="22"/>
              </w:rPr>
              <w:t xml:space="preserve">» - платформа, действующая в соответствии с Федеральным законом от 20.07.2020 №211-ФЗ «О совершении финансовых сделок с </w:t>
            </w:r>
            <w:r w:rsidRPr="009B79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использованием финансовой платформы» (ранее и далее – Финансовая платформа), доступ к которой осуществляется по адресу https://finuslugi.ru/. Прием заявок на приобретение инвестиционных паев с использованием Финансовой платформы допускается при условии использования Финансовой платформы для приема заявок также на погашение и обмен инвестиционных паев фонда. </w:t>
            </w:r>
          </w:p>
          <w:p w:rsidR="00CD1261" w:rsidRPr="009B7927" w:rsidRDefault="00CD1261" w:rsidP="00CD1261">
            <w:pPr>
              <w:pStyle w:val="ConsPlusNormal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B7927">
              <w:rPr>
                <w:rFonts w:ascii="Times New Roman CYR" w:hAnsi="Times New Roman CYR" w:cs="Times New Roman CYR"/>
                <w:sz w:val="22"/>
                <w:szCs w:val="22"/>
              </w:rPr>
              <w:t>Требования к приобретателю инвестиционных паев фонда по использованию Финансовой платформы предусмотрены Правилами финансовой платформы, размещенными по адресу https://assets.finuslugi.ru/mp-assets/platform-rules.pdf.</w:t>
            </w:r>
          </w:p>
          <w:p w:rsidR="00CD1261" w:rsidRDefault="00CD1261" w:rsidP="00CD1261">
            <w:pPr>
              <w:pStyle w:val="ConsPlusNormal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B7927">
              <w:rPr>
                <w:rFonts w:ascii="Times New Roman CYR" w:hAnsi="Times New Roman CYR" w:cs="Times New Roman CYR"/>
                <w:sz w:val="22"/>
                <w:szCs w:val="22"/>
              </w:rPr>
              <w:t xml:space="preserve">Информация о Финансовой платформе и об операторе Финансовой платформе раскрывается на сайте управляющей компании </w:t>
            </w:r>
            <w:hyperlink r:id="rId4" w:history="1">
              <w:r w:rsidRPr="006E392E">
                <w:rPr>
                  <w:rStyle w:val="a3"/>
                  <w:rFonts w:ascii="Times New Roman CYR" w:hAnsi="Times New Roman CYR" w:cs="Times New Roman CYR"/>
                  <w:sz w:val="22"/>
                  <w:szCs w:val="22"/>
                </w:rPr>
                <w:t>www.alfacapital.ru.»</w:t>
              </w:r>
            </w:hyperlink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CD1261" w:rsidRDefault="00CD1261" w:rsidP="00CD1261">
            <w:pPr>
              <w:pStyle w:val="ConsPlusNormal"/>
              <w:ind w:firstLine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D1261" w:rsidRDefault="00CD1261" w:rsidP="00CD126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 w:rsidRPr="00CD1261">
              <w:rPr>
                <w:rFonts w:ascii="Times New Roman CYR" w:hAnsi="Times New Roman CYR" w:cs="Times New Roman CYR"/>
                <w:b/>
                <w:sz w:val="22"/>
                <w:szCs w:val="22"/>
              </w:rPr>
              <w:t>4.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eastAsia="zh-CN"/>
              </w:rPr>
              <w:t xml:space="preserve">Дополнить правила </w:t>
            </w:r>
            <w:r w:rsidRPr="00A10AA9">
              <w:rPr>
                <w:b/>
                <w:sz w:val="22"/>
                <w:szCs w:val="22"/>
                <w:lang w:eastAsia="zh-CN"/>
              </w:rPr>
              <w:t>доверительного управления фонда</w:t>
            </w:r>
            <w:r w:rsidR="00C7120B">
              <w:rPr>
                <w:b/>
                <w:sz w:val="22"/>
                <w:szCs w:val="22"/>
                <w:lang w:eastAsia="zh-CN"/>
              </w:rPr>
              <w:t xml:space="preserve"> п.69</w:t>
            </w:r>
            <w:r>
              <w:rPr>
                <w:b/>
                <w:sz w:val="22"/>
                <w:szCs w:val="22"/>
                <w:lang w:eastAsia="zh-CN"/>
              </w:rPr>
              <w:t>.</w:t>
            </w:r>
            <w:r w:rsidR="00C7120B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 xml:space="preserve"> следующего содержания:</w:t>
            </w:r>
          </w:p>
          <w:p w:rsidR="00C7120B" w:rsidRPr="00470753" w:rsidRDefault="00C7120B" w:rsidP="00C7120B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69.5. </w:t>
            </w:r>
            <w:r w:rsidRPr="00470753">
              <w:rPr>
                <w:sz w:val="22"/>
                <w:szCs w:val="22"/>
              </w:rPr>
              <w:t xml:space="preserve">Заявки на погашение инвестиционных паев номинальными держателями могут направляться в управляющую компанию в виде электронного документа посредством использования Финансовой платформы, доступ к которой осуществляется по адресу https://finuslugi.ru/. Прием заявок на погашение инвестиционных паев с использованием Финансовой платформы допускается при условии использования Финансовой платформы для приема заявок также на приобретение и обмен инвестиционных паев фонда. </w:t>
            </w:r>
          </w:p>
          <w:p w:rsidR="00C7120B" w:rsidRPr="00470753" w:rsidRDefault="00C7120B" w:rsidP="00C7120B">
            <w:pPr>
              <w:ind w:firstLine="567"/>
              <w:jc w:val="both"/>
              <w:rPr>
                <w:sz w:val="22"/>
                <w:szCs w:val="22"/>
              </w:rPr>
            </w:pPr>
            <w:r w:rsidRPr="00470753">
              <w:rPr>
                <w:sz w:val="22"/>
                <w:szCs w:val="22"/>
              </w:rPr>
              <w:t xml:space="preserve">Требования к лицам, желающим погасить инвестиционные паи фонда с использованием Финансовой платформы, которые приобретались посредством использования Финансовой платформы, предусмотрены Правилами финансовой платформы, размещенными по адресу https://assets.finuslugi.ru/mp-assets/platform-rules.pdf. </w:t>
            </w:r>
          </w:p>
          <w:p w:rsidR="00C7120B" w:rsidRDefault="00C7120B" w:rsidP="00C7120B">
            <w:pPr>
              <w:ind w:firstLine="567"/>
              <w:jc w:val="both"/>
              <w:rPr>
                <w:sz w:val="22"/>
                <w:szCs w:val="22"/>
              </w:rPr>
            </w:pPr>
            <w:r w:rsidRPr="00470753">
              <w:rPr>
                <w:sz w:val="22"/>
                <w:szCs w:val="22"/>
              </w:rPr>
              <w:t xml:space="preserve">Информация о Финансовой платформе и об операторе Финансовой платформе раскрывается на сайте управляющей компании </w:t>
            </w:r>
            <w:hyperlink r:id="rId5" w:history="1">
              <w:r w:rsidRPr="006E392E">
                <w:rPr>
                  <w:rStyle w:val="a3"/>
                  <w:sz w:val="22"/>
                  <w:szCs w:val="22"/>
                </w:rPr>
                <w:t>www.alfacapital.ru.»</w:t>
              </w:r>
            </w:hyperlink>
            <w:r>
              <w:rPr>
                <w:sz w:val="22"/>
                <w:szCs w:val="22"/>
              </w:rPr>
              <w:t>.</w:t>
            </w:r>
          </w:p>
          <w:p w:rsidR="00C7120B" w:rsidRDefault="00C7120B" w:rsidP="00C7120B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C7120B" w:rsidRDefault="00ED5031" w:rsidP="00C7120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5. Изложить п.87.1</w:t>
            </w:r>
            <w:r w:rsidR="00C7120B">
              <w:rPr>
                <w:b/>
                <w:sz w:val="22"/>
                <w:szCs w:val="22"/>
                <w:lang w:eastAsia="zh-CN"/>
              </w:rPr>
              <w:t xml:space="preserve"> правил </w:t>
            </w:r>
            <w:r w:rsidR="00C7120B" w:rsidRPr="00A10AA9">
              <w:rPr>
                <w:b/>
                <w:sz w:val="22"/>
                <w:szCs w:val="22"/>
                <w:lang w:eastAsia="zh-CN"/>
              </w:rPr>
              <w:t>доверительного управления фонда</w:t>
            </w:r>
            <w:r>
              <w:rPr>
                <w:b/>
                <w:sz w:val="22"/>
                <w:szCs w:val="22"/>
                <w:lang w:eastAsia="zh-CN"/>
              </w:rPr>
              <w:t xml:space="preserve"> в новой редакции:</w:t>
            </w:r>
          </w:p>
          <w:p w:rsidR="0048075C" w:rsidRDefault="0048075C" w:rsidP="00ED5031">
            <w:pPr>
              <w:jc w:val="both"/>
              <w:rPr>
                <w:b/>
                <w:sz w:val="22"/>
                <w:szCs w:val="22"/>
                <w:lang w:eastAsia="zh-CN"/>
              </w:rPr>
            </w:pPr>
          </w:p>
          <w:p w:rsidR="00ED5031" w:rsidRPr="009B7927" w:rsidRDefault="00ED5031" w:rsidP="00ED5031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«</w:t>
            </w:r>
            <w:r>
              <w:rPr>
                <w:sz w:val="22"/>
                <w:szCs w:val="22"/>
                <w:lang w:eastAsia="zh-CN"/>
              </w:rPr>
              <w:t xml:space="preserve">87.1. </w:t>
            </w:r>
            <w:r w:rsidRPr="009B7927">
              <w:rPr>
                <w:sz w:val="22"/>
                <w:szCs w:val="22"/>
                <w:lang w:eastAsia="zh-CN"/>
              </w:rPr>
              <w:t xml:space="preserve">Заявки на обмен инвестиционных паев номинальными держателями могут </w:t>
            </w:r>
            <w:r w:rsidRPr="009B7927">
              <w:rPr>
                <w:sz w:val="22"/>
                <w:szCs w:val="22"/>
                <w:lang w:eastAsia="zh-CN"/>
              </w:rPr>
              <w:lastRenderedPageBreak/>
              <w:t xml:space="preserve">направляться в управляющую компанию в виде электронного документа посредством использования Финансовой платформы, доступ к которой осуществляется по адресу https://finuslugi.ru/. Прием заявок на обмен инвестиционных паев фонда возможен, в случае если инвестиционные паи фонда приобретались посредством Финансовой платформы и при условии, что фонд, на инвестиционные паи которого предполагается обмен инвестиционных паев фонда, также приобретался посредством Финансовой платформы. </w:t>
            </w:r>
          </w:p>
          <w:p w:rsidR="00ED5031" w:rsidRPr="009B7927" w:rsidRDefault="00ED5031" w:rsidP="00ED5031">
            <w:pPr>
              <w:ind w:firstLine="567"/>
              <w:jc w:val="both"/>
              <w:rPr>
                <w:sz w:val="22"/>
                <w:szCs w:val="22"/>
                <w:lang w:eastAsia="zh-CN"/>
              </w:rPr>
            </w:pPr>
            <w:r w:rsidRPr="009B7927">
              <w:rPr>
                <w:sz w:val="22"/>
                <w:szCs w:val="22"/>
                <w:lang w:eastAsia="zh-CN"/>
              </w:rPr>
              <w:t xml:space="preserve">Использование Финансовой платформы для обмена инвестиционных паев фонда допускается при условии использования Финансовой платформы также для приема заявок на приобретение и погашение инвестиционных паев фонда. </w:t>
            </w:r>
          </w:p>
          <w:p w:rsidR="00ED5031" w:rsidRPr="009B7927" w:rsidRDefault="00ED5031" w:rsidP="00ED5031">
            <w:pPr>
              <w:ind w:firstLine="567"/>
              <w:jc w:val="both"/>
              <w:rPr>
                <w:sz w:val="22"/>
                <w:szCs w:val="22"/>
                <w:lang w:eastAsia="zh-CN"/>
              </w:rPr>
            </w:pPr>
            <w:r w:rsidRPr="009B7927">
              <w:rPr>
                <w:sz w:val="22"/>
                <w:szCs w:val="22"/>
                <w:lang w:eastAsia="zh-CN"/>
              </w:rPr>
              <w:t xml:space="preserve">Требования к лицам, желающим обменять инвестиционные паи с использованием Финансовой платформы для целей обмена инвестиционных паев фонда, которые приобретались посредством использования Финансовой платформы, предусмотрены Правилами финансовой платформы, размещенными по адресу https://assets.finuslugi.ru/mp-assets/platform-rules.pdf. </w:t>
            </w:r>
          </w:p>
          <w:p w:rsidR="00ED5031" w:rsidRDefault="00ED5031" w:rsidP="00ED5031">
            <w:pPr>
              <w:ind w:firstLine="567"/>
              <w:jc w:val="both"/>
              <w:rPr>
                <w:sz w:val="22"/>
                <w:szCs w:val="22"/>
                <w:lang w:eastAsia="zh-CN"/>
              </w:rPr>
            </w:pPr>
            <w:r w:rsidRPr="009B7927">
              <w:rPr>
                <w:sz w:val="22"/>
                <w:szCs w:val="22"/>
                <w:lang w:eastAsia="zh-CN"/>
              </w:rPr>
              <w:t xml:space="preserve">Информация о Финансовой платформе и об операторе Финансовой платформе раскрывается на сайте управляющей компании </w:t>
            </w:r>
            <w:hyperlink r:id="rId6" w:history="1">
              <w:r w:rsidRPr="006E392E">
                <w:rPr>
                  <w:rStyle w:val="a3"/>
                  <w:sz w:val="22"/>
                  <w:szCs w:val="22"/>
                  <w:lang w:eastAsia="zh-CN"/>
                </w:rPr>
                <w:t>www.alfacapital.ru.»</w:t>
              </w:r>
            </w:hyperlink>
            <w:r>
              <w:rPr>
                <w:sz w:val="22"/>
                <w:szCs w:val="22"/>
                <w:lang w:eastAsia="zh-CN"/>
              </w:rPr>
              <w:t>.</w:t>
            </w:r>
          </w:p>
          <w:p w:rsidR="00ED5031" w:rsidRDefault="00ED5031" w:rsidP="00ED5031">
            <w:pPr>
              <w:ind w:firstLine="567"/>
              <w:jc w:val="both"/>
              <w:rPr>
                <w:sz w:val="22"/>
                <w:szCs w:val="22"/>
                <w:lang w:eastAsia="zh-CN"/>
              </w:rPr>
            </w:pPr>
          </w:p>
          <w:p w:rsidR="00ED5031" w:rsidRDefault="00ED5031" w:rsidP="00ED5031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6. Изменить нумерацию </w:t>
            </w:r>
            <w:proofErr w:type="spellStart"/>
            <w:r>
              <w:rPr>
                <w:b/>
                <w:sz w:val="22"/>
                <w:szCs w:val="22"/>
                <w:lang w:eastAsia="zh-CN"/>
              </w:rPr>
              <w:t>пп</w:t>
            </w:r>
            <w:proofErr w:type="spellEnd"/>
            <w:r>
              <w:rPr>
                <w:b/>
                <w:sz w:val="22"/>
                <w:szCs w:val="22"/>
                <w:lang w:eastAsia="zh-CN"/>
              </w:rPr>
              <w:t xml:space="preserve">. 87.1 – 87.3 на </w:t>
            </w:r>
            <w:proofErr w:type="spellStart"/>
            <w:r>
              <w:rPr>
                <w:b/>
                <w:sz w:val="22"/>
                <w:szCs w:val="22"/>
                <w:lang w:eastAsia="zh-CN"/>
              </w:rPr>
              <w:t>пп</w:t>
            </w:r>
            <w:proofErr w:type="spellEnd"/>
            <w:r>
              <w:rPr>
                <w:b/>
                <w:sz w:val="22"/>
                <w:szCs w:val="22"/>
                <w:lang w:eastAsia="zh-CN"/>
              </w:rPr>
              <w:t xml:space="preserve">. 87.1-87.4. правил доверительного управления фонда </w:t>
            </w:r>
          </w:p>
          <w:p w:rsidR="00A10AA9" w:rsidRDefault="00A10AA9" w:rsidP="0049369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  <w:p w:rsidR="001F2800" w:rsidRPr="00493699" w:rsidRDefault="001F2800" w:rsidP="00CD1261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C52F48" w:rsidRDefault="00C52F48" w:rsidP="00AB4159">
      <w:pPr>
        <w:ind w:firstLine="567"/>
        <w:rPr>
          <w:sz w:val="22"/>
          <w:szCs w:val="22"/>
        </w:rPr>
      </w:pPr>
    </w:p>
    <w:p w:rsidR="00C52F48" w:rsidRDefault="00C52F48" w:rsidP="00AB4159">
      <w:pPr>
        <w:ind w:firstLine="567"/>
        <w:rPr>
          <w:sz w:val="22"/>
          <w:szCs w:val="22"/>
        </w:rPr>
      </w:pPr>
    </w:p>
    <w:p w:rsidR="00AB4159" w:rsidRDefault="00AB4159" w:rsidP="009A31CF">
      <w:pPr>
        <w:ind w:firstLine="567"/>
      </w:pPr>
      <w:r w:rsidRPr="00015E9F">
        <w:rPr>
          <w:sz w:val="22"/>
          <w:szCs w:val="22"/>
        </w:rPr>
        <w:t>Генеральный директор</w:t>
      </w:r>
      <w:r w:rsidRPr="00015E9F">
        <w:rPr>
          <w:sz w:val="22"/>
          <w:szCs w:val="22"/>
        </w:rPr>
        <w:tab/>
      </w:r>
      <w:r w:rsidRPr="00015E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</w:t>
      </w:r>
      <w:r w:rsidRPr="00015E9F">
        <w:rPr>
          <w:sz w:val="22"/>
          <w:szCs w:val="22"/>
        </w:rPr>
        <w:t xml:space="preserve"> И.В. Кривошеева    </w:t>
      </w:r>
    </w:p>
    <w:sectPr w:rsidR="00AB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0B2226"/>
    <w:rsid w:val="001069A9"/>
    <w:rsid w:val="001F2800"/>
    <w:rsid w:val="002543C0"/>
    <w:rsid w:val="00263DD6"/>
    <w:rsid w:val="002D07B6"/>
    <w:rsid w:val="00303A7B"/>
    <w:rsid w:val="00337661"/>
    <w:rsid w:val="003B1B41"/>
    <w:rsid w:val="003D5523"/>
    <w:rsid w:val="004338BA"/>
    <w:rsid w:val="00442FA0"/>
    <w:rsid w:val="0048075C"/>
    <w:rsid w:val="00493699"/>
    <w:rsid w:val="0051229F"/>
    <w:rsid w:val="00514238"/>
    <w:rsid w:val="0055505D"/>
    <w:rsid w:val="00565828"/>
    <w:rsid w:val="006A0076"/>
    <w:rsid w:val="0071514D"/>
    <w:rsid w:val="00761B4B"/>
    <w:rsid w:val="007B5CC5"/>
    <w:rsid w:val="0086105B"/>
    <w:rsid w:val="008D3634"/>
    <w:rsid w:val="008F2DF8"/>
    <w:rsid w:val="008F4AA7"/>
    <w:rsid w:val="00947381"/>
    <w:rsid w:val="009A31CF"/>
    <w:rsid w:val="009F3C44"/>
    <w:rsid w:val="00A10AA9"/>
    <w:rsid w:val="00AB4159"/>
    <w:rsid w:val="00B6247E"/>
    <w:rsid w:val="00B65CAA"/>
    <w:rsid w:val="00B729FB"/>
    <w:rsid w:val="00B97837"/>
    <w:rsid w:val="00C204FC"/>
    <w:rsid w:val="00C52F48"/>
    <w:rsid w:val="00C57C5E"/>
    <w:rsid w:val="00C7120B"/>
    <w:rsid w:val="00CD1261"/>
    <w:rsid w:val="00D847D0"/>
    <w:rsid w:val="00DC1925"/>
    <w:rsid w:val="00E0671A"/>
    <w:rsid w:val="00E95ED1"/>
    <w:rsid w:val="00EC2E91"/>
    <w:rsid w:val="00EC786F"/>
    <w:rsid w:val="00ED5031"/>
    <w:rsid w:val="00F04C91"/>
    <w:rsid w:val="00F314F1"/>
    <w:rsid w:val="00F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524B"/>
  <w15:chartTrackingRefBased/>
  <w15:docId w15:val="{3BDB01AD-42AE-447F-81D0-FF2E6016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C786F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86F"/>
    <w:rPr>
      <w:rFonts w:ascii="Arial" w:eastAsia="Times New Roman" w:hAnsi="Arial" w:cs="Arial"/>
      <w:b/>
      <w:bCs/>
      <w:kern w:val="3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94738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D84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rsid w:val="00D847D0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3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1C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facapital.ru." TargetMode="External"/><Relationship Id="rId5" Type="http://schemas.openxmlformats.org/officeDocument/2006/relationships/hyperlink" Target="http://www.alfacapital.ru." TargetMode="External"/><Relationship Id="rId4" Type="http://schemas.openxmlformats.org/officeDocument/2006/relationships/hyperlink" Target="http://www.alfacapital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4</cp:revision>
  <dcterms:created xsi:type="dcterms:W3CDTF">2025-04-01T11:47:00Z</dcterms:created>
  <dcterms:modified xsi:type="dcterms:W3CDTF">2025-04-02T09:07:00Z</dcterms:modified>
</cp:coreProperties>
</file>