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7E0E3A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03779">
        <w:rPr>
          <w:rFonts w:cstheme="minorHAnsi"/>
        </w:rPr>
        <w:t>3</w:t>
      </w:r>
      <w:r w:rsidR="004A3688">
        <w:rPr>
          <w:rFonts w:cstheme="minorHAnsi"/>
        </w:rPr>
        <w:t>0</w:t>
      </w:r>
      <w:r w:rsidR="00B957F8">
        <w:rPr>
          <w:rFonts w:cstheme="minorHAnsi"/>
        </w:rPr>
        <w:t>.</w:t>
      </w:r>
      <w:r w:rsidR="000C2762">
        <w:rPr>
          <w:rFonts w:cstheme="minorHAnsi"/>
        </w:rPr>
        <w:t>0</w:t>
      </w:r>
      <w:r w:rsidR="00BD2EA6">
        <w:rPr>
          <w:rFonts w:cstheme="minorHAnsi"/>
        </w:rPr>
        <w:t>5</w:t>
      </w:r>
      <w:r w:rsidR="00986649" w:rsidRPr="002A6763">
        <w:rPr>
          <w:rFonts w:cstheme="minorHAnsi"/>
        </w:rPr>
        <w:t>.202</w:t>
      </w:r>
      <w:r w:rsidR="000C2762">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6ED7B024"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34696A">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24AB74C4" w:rsidR="00BF5D67" w:rsidRPr="006D6CD8" w:rsidRDefault="00185986" w:rsidP="00185986">
            <w:pPr>
              <w:spacing w:line="276" w:lineRule="auto"/>
              <w:jc w:val="center"/>
              <w:rPr>
                <w:rFonts w:cstheme="minorHAnsi"/>
              </w:rPr>
            </w:pPr>
            <w:r>
              <w:rPr>
                <w:rFonts w:cstheme="minorHAnsi"/>
              </w:rPr>
              <w:t>79</w:t>
            </w:r>
            <w:r w:rsidR="006D6CD8" w:rsidRPr="006D6CD8">
              <w:rPr>
                <w:rFonts w:cstheme="minorHAnsi"/>
              </w:rPr>
              <w:t>,</w:t>
            </w:r>
            <w:r>
              <w:rPr>
                <w:rFonts w:cstheme="minorHAnsi"/>
              </w:rPr>
              <w:t>73</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261AE354" w:rsidR="00A52C36" w:rsidRPr="006D6CD8" w:rsidRDefault="00F128B8" w:rsidP="00185986">
            <w:pPr>
              <w:spacing w:line="276" w:lineRule="auto"/>
              <w:jc w:val="center"/>
              <w:rPr>
                <w:rFonts w:cstheme="minorHAnsi"/>
              </w:rPr>
            </w:pPr>
            <w:r>
              <w:rPr>
                <w:rFonts w:cstheme="minorHAnsi"/>
              </w:rPr>
              <w:lastRenderedPageBreak/>
              <w:t>8</w:t>
            </w:r>
            <w:r w:rsidR="00572590">
              <w:rPr>
                <w:rFonts w:cstheme="minorHAnsi"/>
              </w:rPr>
              <w:t>,3</w:t>
            </w:r>
            <w:r w:rsidR="00185986">
              <w:rPr>
                <w:rFonts w:cstheme="minorHAnsi"/>
              </w:rPr>
              <w:t>2</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3D293ACA" w:rsidR="005C0AFF" w:rsidRPr="006D6CD8" w:rsidRDefault="00236BDD" w:rsidP="00185986">
            <w:pPr>
              <w:spacing w:line="276" w:lineRule="auto"/>
              <w:jc w:val="center"/>
              <w:rPr>
                <w:rFonts w:cstheme="minorHAnsi"/>
              </w:rPr>
            </w:pPr>
            <w:r>
              <w:rPr>
                <w:rFonts w:cstheme="minorHAnsi"/>
              </w:rPr>
              <w:t>4</w:t>
            </w:r>
            <w:r w:rsidR="006D6CD8" w:rsidRPr="006D6CD8">
              <w:rPr>
                <w:rFonts w:cstheme="minorHAnsi"/>
              </w:rPr>
              <w:t>,</w:t>
            </w:r>
            <w:r w:rsidR="00185986">
              <w:rPr>
                <w:rFonts w:cstheme="minorHAnsi"/>
              </w:rPr>
              <w:t>64</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1925E4EE" w:rsidR="00A52C36" w:rsidRPr="006D6CD8" w:rsidRDefault="00F128B8" w:rsidP="001C14BA">
            <w:pPr>
              <w:spacing w:line="276" w:lineRule="auto"/>
              <w:jc w:val="center"/>
              <w:rPr>
                <w:rFonts w:cstheme="minorHAnsi"/>
              </w:rPr>
            </w:pPr>
            <w:r>
              <w:rPr>
                <w:rFonts w:cstheme="minorHAnsi"/>
              </w:rPr>
              <w:t>4</w:t>
            </w:r>
            <w:r w:rsidR="006D6CD8" w:rsidRPr="006D6CD8">
              <w:rPr>
                <w:rFonts w:cstheme="minorHAnsi"/>
              </w:rPr>
              <w:t>,</w:t>
            </w:r>
            <w:r>
              <w:rPr>
                <w:rFonts w:cstheme="minorHAnsi"/>
              </w:rPr>
              <w:t>0</w:t>
            </w:r>
            <w:r w:rsidR="00185986">
              <w:rPr>
                <w:rFonts w:cstheme="minorHAnsi"/>
              </w:rPr>
              <w:t>2</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5CABFD27" w:rsidR="00236BDD" w:rsidRPr="006D6CD8" w:rsidRDefault="00185986" w:rsidP="00185986">
            <w:pPr>
              <w:spacing w:line="276" w:lineRule="auto"/>
              <w:jc w:val="center"/>
              <w:rPr>
                <w:rFonts w:cstheme="minorHAnsi"/>
              </w:rPr>
            </w:pPr>
            <w:r>
              <w:rPr>
                <w:rFonts w:cstheme="minorHAnsi"/>
              </w:rPr>
              <w:t>2</w:t>
            </w:r>
            <w:r w:rsidR="00236BDD">
              <w:rPr>
                <w:rFonts w:cstheme="minorHAnsi"/>
              </w:rPr>
              <w:t>,</w:t>
            </w:r>
            <w:r>
              <w:rPr>
                <w:rFonts w:cstheme="minorHAnsi"/>
              </w:rPr>
              <w:t>10</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A134BD">
        <w:tblPrEx>
          <w:tblCellMar>
            <w:left w:w="108" w:type="dxa"/>
            <w:right w:w="108" w:type="dxa"/>
          </w:tblCellMar>
        </w:tblPrEx>
        <w:trPr>
          <w:trHeight w:val="1074"/>
        </w:trPr>
        <w:tc>
          <w:tcPr>
            <w:tcW w:w="4365" w:type="dxa"/>
            <w:vMerge w:val="restart"/>
            <w:vAlign w:val="center"/>
          </w:tcPr>
          <w:p w14:paraId="66CBF915" w14:textId="08C0A772" w:rsidR="008D510F" w:rsidRPr="003B455E" w:rsidRDefault="00A134BD" w:rsidP="00526694">
            <w:pPr>
              <w:pStyle w:val="ConsPlusNormal"/>
              <w:jc w:val="center"/>
              <w:rPr>
                <w:rFonts w:asciiTheme="minorHAnsi" w:hAnsiTheme="minorHAnsi" w:cstheme="minorHAnsi"/>
              </w:rPr>
            </w:pPr>
            <w:r>
              <w:rPr>
                <w:noProof/>
              </w:rPr>
              <w:drawing>
                <wp:inline distT="0" distB="0" distL="0" distR="0" wp14:anchorId="61E487F8" wp14:editId="280498A3">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195055A5" w14:textId="77777777" w:rsidR="00C31537" w:rsidRDefault="00B16FEE" w:rsidP="00C31537">
            <w:pPr>
              <w:pStyle w:val="ConsPlusNormal"/>
              <w:ind w:left="283"/>
              <w:rPr>
                <w:rFonts w:asciiTheme="minorHAnsi" w:hAnsiTheme="minorHAnsi" w:cstheme="minorHAnsi"/>
              </w:rPr>
            </w:pPr>
            <w:r w:rsidRPr="0004637F">
              <w:rPr>
                <w:rFonts w:asciiTheme="minorHAnsi" w:hAnsiTheme="minorHAnsi" w:cstheme="minorHAnsi"/>
              </w:rPr>
              <w:t>инфляции</w:t>
            </w:r>
            <w:r w:rsidR="00C31537">
              <w:rPr>
                <w:rFonts w:asciiTheme="minorHAnsi" w:hAnsiTheme="minorHAnsi" w:cstheme="minorHAnsi"/>
              </w:rPr>
              <w:t>*</w:t>
            </w:r>
          </w:p>
          <w:p w14:paraId="377B7C46" w14:textId="2665AC16" w:rsidR="008D510F" w:rsidRPr="0004637F" w:rsidRDefault="00C31537" w:rsidP="00BD2EA6">
            <w:pPr>
              <w:pStyle w:val="ConsPlusNormal"/>
              <w:ind w:left="283"/>
              <w:rPr>
                <w:rFonts w:asciiTheme="minorHAnsi" w:hAnsiTheme="minorHAnsi" w:cstheme="minorHAnsi"/>
              </w:rPr>
            </w:pPr>
            <w:r>
              <w:rPr>
                <w:rFonts w:cstheme="minorHAnsi"/>
                <w:sz w:val="12"/>
                <w:szCs w:val="12"/>
              </w:rPr>
              <w:t xml:space="preserve">*(использованы данные за </w:t>
            </w:r>
            <w:r w:rsidR="00BD2EA6">
              <w:rPr>
                <w:rFonts w:cstheme="minorHAnsi"/>
                <w:sz w:val="12"/>
                <w:szCs w:val="12"/>
              </w:rPr>
              <w:t>апрель</w:t>
            </w:r>
            <w:r>
              <w:rPr>
                <w:rFonts w:cstheme="minorHAnsi"/>
                <w:sz w:val="12"/>
                <w:szCs w:val="12"/>
              </w:rPr>
              <w:t xml:space="preserve"> 2025)</w:t>
            </w:r>
          </w:p>
        </w:tc>
      </w:tr>
      <w:tr w:rsidR="00610060" w:rsidRPr="00C50091" w14:paraId="163F6D42" w14:textId="77777777" w:rsidTr="00717D7C">
        <w:tc>
          <w:tcPr>
            <w:tcW w:w="4365" w:type="dxa"/>
            <w:vMerge/>
          </w:tcPr>
          <w:p w14:paraId="439EA073" w14:textId="77777777" w:rsidR="00610060" w:rsidRPr="003B455E" w:rsidRDefault="00610060" w:rsidP="00610060">
            <w:pPr>
              <w:rPr>
                <w:rFonts w:cstheme="minorHAnsi"/>
              </w:rPr>
            </w:pPr>
            <w:bookmarkStart w:id="0" w:name="_GoBack" w:colFirst="3" w:colLast="3"/>
          </w:p>
        </w:tc>
        <w:tc>
          <w:tcPr>
            <w:tcW w:w="1380" w:type="dxa"/>
            <w:vAlign w:val="bottom"/>
          </w:tcPr>
          <w:p w14:paraId="377E34DE" w14:textId="77777777" w:rsidR="00610060" w:rsidRPr="0004637F" w:rsidRDefault="00610060" w:rsidP="00610060">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487B17E2" w:rsidR="00610060" w:rsidRPr="00236BDD" w:rsidRDefault="00610060" w:rsidP="00610060">
            <w:pPr>
              <w:pStyle w:val="ConsPlusNormal"/>
              <w:rPr>
                <w:rFonts w:asciiTheme="minorHAnsi" w:hAnsiTheme="minorHAnsi" w:cstheme="minorHAnsi"/>
                <w:highlight w:val="yellow"/>
              </w:rPr>
            </w:pPr>
            <w:r>
              <w:rPr>
                <w:rFonts w:ascii="Arial Narrow" w:hAnsi="Arial Narrow"/>
                <w:color w:val="000000"/>
                <w:sz w:val="20"/>
              </w:rPr>
              <w:t>2,17%</w:t>
            </w:r>
          </w:p>
        </w:tc>
        <w:tc>
          <w:tcPr>
            <w:tcW w:w="1846" w:type="dxa"/>
            <w:vAlign w:val="bottom"/>
          </w:tcPr>
          <w:p w14:paraId="5DA42905" w14:textId="205F685A" w:rsidR="00610060" w:rsidRPr="00236BDD" w:rsidRDefault="00610060" w:rsidP="00610060">
            <w:pPr>
              <w:pStyle w:val="ConsPlusNormal"/>
              <w:rPr>
                <w:rFonts w:asciiTheme="minorHAnsi" w:hAnsiTheme="minorHAnsi" w:cstheme="minorHAnsi"/>
                <w:color w:val="FF0000"/>
                <w:highlight w:val="yellow"/>
              </w:rPr>
            </w:pPr>
            <w:r>
              <w:rPr>
                <w:rFonts w:ascii="Arial Narrow" w:hAnsi="Arial Narrow"/>
                <w:color w:val="000000"/>
                <w:sz w:val="20"/>
              </w:rPr>
              <w:t>1,77%</w:t>
            </w:r>
          </w:p>
        </w:tc>
      </w:tr>
      <w:tr w:rsidR="00610060" w:rsidRPr="00C50091" w14:paraId="734DB2DE" w14:textId="77777777" w:rsidTr="00717D7C">
        <w:tc>
          <w:tcPr>
            <w:tcW w:w="4365" w:type="dxa"/>
            <w:vMerge/>
          </w:tcPr>
          <w:p w14:paraId="1A4F3314" w14:textId="77777777" w:rsidR="00610060" w:rsidRPr="003B455E" w:rsidRDefault="00610060" w:rsidP="00610060">
            <w:pPr>
              <w:rPr>
                <w:rFonts w:cstheme="minorHAnsi"/>
              </w:rPr>
            </w:pPr>
          </w:p>
        </w:tc>
        <w:tc>
          <w:tcPr>
            <w:tcW w:w="1380" w:type="dxa"/>
            <w:vAlign w:val="bottom"/>
          </w:tcPr>
          <w:p w14:paraId="6B673F49" w14:textId="77777777" w:rsidR="00610060" w:rsidRPr="0004637F" w:rsidRDefault="00610060" w:rsidP="00610060">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5F0435EA" w:rsidR="00610060" w:rsidRPr="00236BDD" w:rsidRDefault="00610060" w:rsidP="00610060">
            <w:pPr>
              <w:pStyle w:val="ConsPlusNormal"/>
              <w:rPr>
                <w:rFonts w:asciiTheme="minorHAnsi" w:hAnsiTheme="minorHAnsi" w:cstheme="minorHAnsi"/>
                <w:highlight w:val="yellow"/>
              </w:rPr>
            </w:pPr>
            <w:r>
              <w:rPr>
                <w:rFonts w:ascii="Arial Narrow" w:hAnsi="Arial Narrow"/>
                <w:color w:val="000000"/>
                <w:sz w:val="20"/>
              </w:rPr>
              <w:t>5,89%</w:t>
            </w:r>
          </w:p>
        </w:tc>
        <w:tc>
          <w:tcPr>
            <w:tcW w:w="1846" w:type="dxa"/>
            <w:vAlign w:val="bottom"/>
          </w:tcPr>
          <w:p w14:paraId="0A9EC4F7" w14:textId="4B83E958" w:rsidR="00610060" w:rsidRPr="00236BDD" w:rsidRDefault="00610060" w:rsidP="00610060">
            <w:pPr>
              <w:pStyle w:val="ConsPlusNormal"/>
              <w:rPr>
                <w:rFonts w:asciiTheme="minorHAnsi" w:hAnsiTheme="minorHAnsi" w:cstheme="minorHAnsi"/>
                <w:color w:val="FF0000"/>
                <w:highlight w:val="yellow"/>
              </w:rPr>
            </w:pPr>
            <w:r>
              <w:rPr>
                <w:rFonts w:ascii="Arial Narrow" w:hAnsi="Arial Narrow"/>
                <w:color w:val="000000"/>
                <w:sz w:val="20"/>
              </w:rPr>
              <w:t>4,02%</w:t>
            </w:r>
          </w:p>
        </w:tc>
      </w:tr>
      <w:tr w:rsidR="00610060" w:rsidRPr="00C50091" w14:paraId="2D189623" w14:textId="77777777" w:rsidTr="00717D7C">
        <w:tc>
          <w:tcPr>
            <w:tcW w:w="4365" w:type="dxa"/>
            <w:vMerge/>
          </w:tcPr>
          <w:p w14:paraId="06D3E770" w14:textId="77777777" w:rsidR="00610060" w:rsidRPr="003B455E" w:rsidRDefault="00610060" w:rsidP="00610060">
            <w:pPr>
              <w:rPr>
                <w:rFonts w:cstheme="minorHAnsi"/>
              </w:rPr>
            </w:pPr>
          </w:p>
        </w:tc>
        <w:tc>
          <w:tcPr>
            <w:tcW w:w="1380" w:type="dxa"/>
            <w:vAlign w:val="bottom"/>
          </w:tcPr>
          <w:p w14:paraId="0A625FAD" w14:textId="77777777" w:rsidR="00610060" w:rsidRPr="0004637F" w:rsidRDefault="00610060" w:rsidP="00610060">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5C8E69A9" w:rsidR="00610060" w:rsidRPr="00236BDD" w:rsidRDefault="00610060" w:rsidP="00610060">
            <w:pPr>
              <w:pStyle w:val="ConsPlusNormal"/>
              <w:rPr>
                <w:color w:val="000000"/>
                <w:szCs w:val="22"/>
                <w:highlight w:val="yellow"/>
              </w:rPr>
            </w:pPr>
            <w:r>
              <w:rPr>
                <w:rFonts w:ascii="Arial Narrow" w:hAnsi="Arial Narrow"/>
                <w:color w:val="000000"/>
                <w:sz w:val="20"/>
              </w:rPr>
              <w:t>29,78%</w:t>
            </w:r>
          </w:p>
        </w:tc>
        <w:tc>
          <w:tcPr>
            <w:tcW w:w="1846" w:type="dxa"/>
            <w:vAlign w:val="bottom"/>
          </w:tcPr>
          <w:p w14:paraId="5A1631C8" w14:textId="545D5A94" w:rsidR="00610060" w:rsidRPr="00236BDD" w:rsidRDefault="00610060" w:rsidP="00610060">
            <w:pPr>
              <w:pStyle w:val="ConsPlusNormal"/>
              <w:rPr>
                <w:color w:val="000000"/>
                <w:szCs w:val="22"/>
                <w:highlight w:val="yellow"/>
              </w:rPr>
            </w:pPr>
            <w:r>
              <w:rPr>
                <w:rFonts w:ascii="Arial Narrow" w:hAnsi="Arial Narrow"/>
                <w:color w:val="000000"/>
                <w:sz w:val="20"/>
              </w:rPr>
              <w:t>23,80%</w:t>
            </w:r>
          </w:p>
        </w:tc>
      </w:tr>
      <w:tr w:rsidR="00610060" w:rsidRPr="00C50091" w14:paraId="00022598" w14:textId="77777777" w:rsidTr="00717D7C">
        <w:tc>
          <w:tcPr>
            <w:tcW w:w="4365" w:type="dxa"/>
            <w:vMerge/>
          </w:tcPr>
          <w:p w14:paraId="23447C1B" w14:textId="77777777" w:rsidR="00610060" w:rsidRPr="003B455E" w:rsidRDefault="00610060" w:rsidP="00610060">
            <w:pPr>
              <w:rPr>
                <w:rFonts w:cstheme="minorHAnsi"/>
              </w:rPr>
            </w:pPr>
          </w:p>
        </w:tc>
        <w:tc>
          <w:tcPr>
            <w:tcW w:w="1380" w:type="dxa"/>
            <w:vAlign w:val="bottom"/>
          </w:tcPr>
          <w:p w14:paraId="1559E4EA" w14:textId="77777777" w:rsidR="00610060" w:rsidRPr="0004637F" w:rsidRDefault="00610060" w:rsidP="00610060">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4C41D393" w:rsidR="00610060" w:rsidRPr="00236BDD" w:rsidRDefault="00610060" w:rsidP="00610060">
            <w:pPr>
              <w:pStyle w:val="ConsPlusNormal"/>
              <w:rPr>
                <w:rFonts w:asciiTheme="minorHAnsi" w:hAnsiTheme="minorHAnsi" w:cstheme="minorHAnsi"/>
                <w:highlight w:val="yellow"/>
              </w:rPr>
            </w:pPr>
            <w:r>
              <w:rPr>
                <w:rFonts w:ascii="Arial Narrow" w:hAnsi="Arial Narrow"/>
                <w:color w:val="000000"/>
                <w:sz w:val="20"/>
              </w:rPr>
              <w:t>44,58%</w:t>
            </w:r>
          </w:p>
        </w:tc>
        <w:tc>
          <w:tcPr>
            <w:tcW w:w="1846" w:type="dxa"/>
            <w:vAlign w:val="bottom"/>
          </w:tcPr>
          <w:p w14:paraId="4EF284CC" w14:textId="7ACD2826" w:rsidR="00610060" w:rsidRPr="00236BDD" w:rsidRDefault="00610060" w:rsidP="00610060">
            <w:pPr>
              <w:pStyle w:val="ConsPlusNormal"/>
              <w:rPr>
                <w:rFonts w:asciiTheme="minorHAnsi" w:hAnsiTheme="minorHAnsi" w:cstheme="minorHAnsi"/>
                <w:color w:val="FF0000"/>
                <w:highlight w:val="yellow"/>
              </w:rPr>
            </w:pPr>
            <w:r>
              <w:rPr>
                <w:rFonts w:ascii="Arial Narrow" w:hAnsi="Arial Narrow"/>
                <w:color w:val="000000"/>
                <w:sz w:val="20"/>
              </w:rPr>
              <w:t>34,35%</w:t>
            </w:r>
          </w:p>
        </w:tc>
      </w:tr>
      <w:tr w:rsidR="00610060" w:rsidRPr="00C50091" w14:paraId="61586E32" w14:textId="77777777" w:rsidTr="00717D7C">
        <w:tc>
          <w:tcPr>
            <w:tcW w:w="4365" w:type="dxa"/>
            <w:vMerge/>
          </w:tcPr>
          <w:p w14:paraId="6D68E732" w14:textId="77777777" w:rsidR="00610060" w:rsidRPr="003B455E" w:rsidRDefault="00610060" w:rsidP="00610060">
            <w:pPr>
              <w:rPr>
                <w:rFonts w:cstheme="minorHAnsi"/>
              </w:rPr>
            </w:pPr>
          </w:p>
        </w:tc>
        <w:tc>
          <w:tcPr>
            <w:tcW w:w="1380" w:type="dxa"/>
            <w:vAlign w:val="bottom"/>
          </w:tcPr>
          <w:p w14:paraId="6C7A6518" w14:textId="77777777" w:rsidR="00610060" w:rsidRPr="0004637F" w:rsidRDefault="00610060" w:rsidP="00610060">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0C918230" w:rsidR="00610060" w:rsidRPr="00236BDD" w:rsidRDefault="00610060" w:rsidP="00610060">
            <w:pPr>
              <w:pStyle w:val="ConsPlusNormal"/>
              <w:rPr>
                <w:rFonts w:asciiTheme="minorHAnsi" w:hAnsiTheme="minorHAnsi" w:cstheme="minorHAnsi"/>
                <w:highlight w:val="yellow"/>
              </w:rPr>
            </w:pPr>
            <w:r>
              <w:rPr>
                <w:rFonts w:ascii="Arial Narrow" w:hAnsi="Arial Narrow"/>
                <w:color w:val="000000"/>
                <w:sz w:val="20"/>
              </w:rPr>
              <w:t>129,11%</w:t>
            </w:r>
          </w:p>
        </w:tc>
        <w:tc>
          <w:tcPr>
            <w:tcW w:w="1846" w:type="dxa"/>
            <w:vAlign w:val="bottom"/>
          </w:tcPr>
          <w:p w14:paraId="4946C1EE" w14:textId="6D371AA2" w:rsidR="00610060" w:rsidRPr="00236BDD" w:rsidRDefault="00610060" w:rsidP="00610060">
            <w:pPr>
              <w:pStyle w:val="ConsPlusNormal"/>
              <w:rPr>
                <w:rFonts w:asciiTheme="minorHAnsi" w:hAnsiTheme="minorHAnsi" w:cstheme="minorHAnsi"/>
                <w:color w:val="FF0000"/>
                <w:highlight w:val="yellow"/>
              </w:rPr>
            </w:pPr>
            <w:r>
              <w:rPr>
                <w:rFonts w:ascii="Arial Narrow" w:hAnsi="Arial Narrow"/>
                <w:color w:val="000000"/>
                <w:sz w:val="20"/>
              </w:rPr>
              <w:t>107,51%</w:t>
            </w:r>
          </w:p>
        </w:tc>
      </w:tr>
      <w:tr w:rsidR="00610060" w:rsidRPr="00C50091" w14:paraId="23E49679" w14:textId="77777777" w:rsidTr="00311FAE">
        <w:tc>
          <w:tcPr>
            <w:tcW w:w="4365" w:type="dxa"/>
            <w:vMerge/>
          </w:tcPr>
          <w:p w14:paraId="18885D97" w14:textId="77777777" w:rsidR="00610060" w:rsidRPr="003B455E" w:rsidRDefault="00610060" w:rsidP="00610060">
            <w:pPr>
              <w:pStyle w:val="ConsPlusNormal"/>
              <w:rPr>
                <w:rFonts w:asciiTheme="minorHAnsi" w:hAnsiTheme="minorHAnsi" w:cstheme="minorHAnsi"/>
              </w:rPr>
            </w:pPr>
          </w:p>
        </w:tc>
        <w:tc>
          <w:tcPr>
            <w:tcW w:w="1380" w:type="dxa"/>
            <w:vAlign w:val="bottom"/>
          </w:tcPr>
          <w:p w14:paraId="427B3323" w14:textId="77777777" w:rsidR="00610060" w:rsidRPr="0004637F" w:rsidRDefault="00610060" w:rsidP="00610060">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2CF6BA24" w:rsidR="00610060" w:rsidRPr="00236BDD" w:rsidRDefault="00610060" w:rsidP="00610060">
            <w:pPr>
              <w:pStyle w:val="ConsPlusNormal"/>
              <w:rPr>
                <w:rFonts w:asciiTheme="minorHAnsi" w:hAnsiTheme="minorHAnsi" w:cstheme="minorHAnsi"/>
                <w:highlight w:val="yellow"/>
              </w:rPr>
            </w:pPr>
            <w:r>
              <w:rPr>
                <w:rFonts w:ascii="Arial Narrow" w:hAnsi="Arial Narrow"/>
                <w:color w:val="000000"/>
                <w:sz w:val="20"/>
              </w:rPr>
              <w:t>166,33%</w:t>
            </w:r>
          </w:p>
        </w:tc>
        <w:tc>
          <w:tcPr>
            <w:tcW w:w="1846" w:type="dxa"/>
            <w:vAlign w:val="bottom"/>
          </w:tcPr>
          <w:p w14:paraId="529BB3CB" w14:textId="4FF0356D" w:rsidR="00610060" w:rsidRPr="00236BDD" w:rsidRDefault="00610060" w:rsidP="00610060">
            <w:pPr>
              <w:pStyle w:val="ConsPlusNormal"/>
              <w:rPr>
                <w:rFonts w:asciiTheme="minorHAnsi" w:hAnsiTheme="minorHAnsi" w:cstheme="minorHAnsi"/>
                <w:highlight w:val="yellow"/>
              </w:rPr>
            </w:pPr>
            <w:r>
              <w:rPr>
                <w:rFonts w:ascii="Arial Narrow" w:hAnsi="Arial Narrow"/>
                <w:color w:val="000000"/>
                <w:sz w:val="20"/>
              </w:rPr>
              <w:t>115,15%</w:t>
            </w:r>
          </w:p>
        </w:tc>
      </w:tr>
      <w:bookmarkEnd w:id="0"/>
    </w:tbl>
    <w:p w14:paraId="136D627F" w14:textId="77777777" w:rsidR="004F6824" w:rsidRPr="00C50091" w:rsidRDefault="004F6824" w:rsidP="007E2A89">
      <w:pPr>
        <w:pStyle w:val="a3"/>
        <w:spacing w:line="276" w:lineRule="auto"/>
        <w:rPr>
          <w:rFonts w:cstheme="minorHAnsi"/>
        </w:rPr>
      </w:pPr>
    </w:p>
    <w:p w14:paraId="66686100" w14:textId="227BB09D" w:rsidR="007A0DCF" w:rsidRPr="00C50091" w:rsidRDefault="007E4067" w:rsidP="0018598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85986" w:rsidRPr="00185986">
        <w:rPr>
          <w:rFonts w:cstheme="minorHAnsi"/>
        </w:rPr>
        <w:t>1 340,34</w:t>
      </w:r>
      <w:r w:rsidR="00572590" w:rsidRPr="00572590">
        <w:rPr>
          <w:rFonts w:cstheme="minorHAnsi"/>
        </w:rPr>
        <w:t xml:space="preserve"> </w:t>
      </w:r>
      <w:r w:rsidRPr="00C50091">
        <w:rPr>
          <w:rFonts w:cstheme="minorHAnsi"/>
        </w:rPr>
        <w:t>рублей.</w:t>
      </w:r>
    </w:p>
    <w:p w14:paraId="59CB4D01" w14:textId="0038DA8A" w:rsidR="007F4701" w:rsidRPr="007F4701" w:rsidRDefault="007A0DCF" w:rsidP="00185986">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185986" w:rsidRPr="00185986">
        <w:rPr>
          <w:rFonts w:cstheme="minorHAnsi"/>
        </w:rPr>
        <w:t>174</w:t>
      </w:r>
      <w:r w:rsidR="00185986">
        <w:rPr>
          <w:rFonts w:cstheme="minorHAnsi"/>
        </w:rPr>
        <w:t> </w:t>
      </w:r>
      <w:r w:rsidR="00185986" w:rsidRPr="00185986">
        <w:rPr>
          <w:rFonts w:cstheme="minorHAnsi"/>
        </w:rPr>
        <w:t>408</w:t>
      </w:r>
      <w:r w:rsidR="00185986">
        <w:rPr>
          <w:rFonts w:cstheme="minorHAnsi"/>
        </w:rPr>
        <w:t xml:space="preserve"> </w:t>
      </w:r>
      <w:r w:rsidR="00185986" w:rsidRPr="00185986">
        <w:rPr>
          <w:rFonts w:cstheme="minorHAnsi"/>
        </w:rPr>
        <w:t>994,</w:t>
      </w:r>
      <w:proofErr w:type="gramStart"/>
      <w:r w:rsidR="00185986" w:rsidRPr="00185986">
        <w:rPr>
          <w:rFonts w:cstheme="minorHAnsi"/>
        </w:rPr>
        <w:t xml:space="preserve">27 </w:t>
      </w:r>
      <w:r w:rsidR="004C5EC8" w:rsidRPr="004C5EC8">
        <w:rPr>
          <w:rFonts w:cstheme="minorHAnsi"/>
        </w:rPr>
        <w:t> </w:t>
      </w:r>
      <w:r w:rsidRPr="007F4701">
        <w:rPr>
          <w:rFonts w:cstheme="minorHAnsi"/>
        </w:rPr>
        <w:t>рублей</w:t>
      </w:r>
      <w:proofErr w:type="gramEnd"/>
      <w:r w:rsidRPr="007F4701">
        <w:rPr>
          <w:rFonts w:cstheme="minorHAnsi"/>
        </w:rPr>
        <w:t>.</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175B"/>
    <w:rsid w:val="00042A22"/>
    <w:rsid w:val="000431B3"/>
    <w:rsid w:val="0004637F"/>
    <w:rsid w:val="000526C4"/>
    <w:rsid w:val="000643EA"/>
    <w:rsid w:val="000B1C63"/>
    <w:rsid w:val="000C26C3"/>
    <w:rsid w:val="000C2762"/>
    <w:rsid w:val="000C2A9D"/>
    <w:rsid w:val="000D3AC7"/>
    <w:rsid w:val="000D6067"/>
    <w:rsid w:val="000F7446"/>
    <w:rsid w:val="00102B2B"/>
    <w:rsid w:val="00117C6B"/>
    <w:rsid w:val="00117E81"/>
    <w:rsid w:val="001743E3"/>
    <w:rsid w:val="00184101"/>
    <w:rsid w:val="001858EA"/>
    <w:rsid w:val="00185986"/>
    <w:rsid w:val="001F0100"/>
    <w:rsid w:val="001F3FB3"/>
    <w:rsid w:val="001F6176"/>
    <w:rsid w:val="001F677E"/>
    <w:rsid w:val="00232119"/>
    <w:rsid w:val="00234D7E"/>
    <w:rsid w:val="00236BDD"/>
    <w:rsid w:val="0029741D"/>
    <w:rsid w:val="002A6763"/>
    <w:rsid w:val="002E02FF"/>
    <w:rsid w:val="00317912"/>
    <w:rsid w:val="0034696A"/>
    <w:rsid w:val="00374E3A"/>
    <w:rsid w:val="003834DB"/>
    <w:rsid w:val="003872A1"/>
    <w:rsid w:val="00391D3A"/>
    <w:rsid w:val="003B3298"/>
    <w:rsid w:val="003B455E"/>
    <w:rsid w:val="003B7FE3"/>
    <w:rsid w:val="003C1C03"/>
    <w:rsid w:val="003D56F7"/>
    <w:rsid w:val="003E098F"/>
    <w:rsid w:val="003F6D2F"/>
    <w:rsid w:val="004154CB"/>
    <w:rsid w:val="00490C3A"/>
    <w:rsid w:val="004A3688"/>
    <w:rsid w:val="004C5035"/>
    <w:rsid w:val="004C5EC8"/>
    <w:rsid w:val="004D02F5"/>
    <w:rsid w:val="004E3C6E"/>
    <w:rsid w:val="004F1F86"/>
    <w:rsid w:val="004F6824"/>
    <w:rsid w:val="005055A1"/>
    <w:rsid w:val="00506F47"/>
    <w:rsid w:val="005468D4"/>
    <w:rsid w:val="005571DA"/>
    <w:rsid w:val="00572590"/>
    <w:rsid w:val="005953EA"/>
    <w:rsid w:val="005B7769"/>
    <w:rsid w:val="005C0AFF"/>
    <w:rsid w:val="005D5AA7"/>
    <w:rsid w:val="005E2EAC"/>
    <w:rsid w:val="00610060"/>
    <w:rsid w:val="00620573"/>
    <w:rsid w:val="006206A1"/>
    <w:rsid w:val="006342CC"/>
    <w:rsid w:val="00640025"/>
    <w:rsid w:val="00656118"/>
    <w:rsid w:val="0068776B"/>
    <w:rsid w:val="006948D0"/>
    <w:rsid w:val="006C15EF"/>
    <w:rsid w:val="006D6CD8"/>
    <w:rsid w:val="006F317C"/>
    <w:rsid w:val="00701135"/>
    <w:rsid w:val="00710138"/>
    <w:rsid w:val="007324EB"/>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A5B23"/>
    <w:rsid w:val="008B1FD7"/>
    <w:rsid w:val="008B4DAA"/>
    <w:rsid w:val="008B766F"/>
    <w:rsid w:val="008D071C"/>
    <w:rsid w:val="008D510F"/>
    <w:rsid w:val="008F0795"/>
    <w:rsid w:val="008F6875"/>
    <w:rsid w:val="0090363B"/>
    <w:rsid w:val="00946EB1"/>
    <w:rsid w:val="009704C0"/>
    <w:rsid w:val="00983B3C"/>
    <w:rsid w:val="0098657F"/>
    <w:rsid w:val="00986649"/>
    <w:rsid w:val="0099110E"/>
    <w:rsid w:val="009D20F1"/>
    <w:rsid w:val="009D5F29"/>
    <w:rsid w:val="00A134BD"/>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957F8"/>
    <w:rsid w:val="00BB3E93"/>
    <w:rsid w:val="00BC4E8A"/>
    <w:rsid w:val="00BD2EA6"/>
    <w:rsid w:val="00BF3CE1"/>
    <w:rsid w:val="00BF5D67"/>
    <w:rsid w:val="00C31537"/>
    <w:rsid w:val="00C40D8F"/>
    <w:rsid w:val="00C45B63"/>
    <w:rsid w:val="00C50091"/>
    <w:rsid w:val="00C62806"/>
    <w:rsid w:val="00C75DF9"/>
    <w:rsid w:val="00C83257"/>
    <w:rsid w:val="00C84B56"/>
    <w:rsid w:val="00C952C3"/>
    <w:rsid w:val="00CD5164"/>
    <w:rsid w:val="00CF0234"/>
    <w:rsid w:val="00CF4FA4"/>
    <w:rsid w:val="00D31E96"/>
    <w:rsid w:val="00D360B9"/>
    <w:rsid w:val="00D509BF"/>
    <w:rsid w:val="00D54EBE"/>
    <w:rsid w:val="00DA0098"/>
    <w:rsid w:val="00DB6B47"/>
    <w:rsid w:val="00DC6B5D"/>
    <w:rsid w:val="00DD5572"/>
    <w:rsid w:val="00DD6080"/>
    <w:rsid w:val="00DE0823"/>
    <w:rsid w:val="00E03779"/>
    <w:rsid w:val="00E0632F"/>
    <w:rsid w:val="00E0686B"/>
    <w:rsid w:val="00E4575A"/>
    <w:rsid w:val="00E50CA2"/>
    <w:rsid w:val="00E66B06"/>
    <w:rsid w:val="00E70837"/>
    <w:rsid w:val="00E87EF9"/>
    <w:rsid w:val="00E95010"/>
    <w:rsid w:val="00F128B8"/>
    <w:rsid w:val="00F258E1"/>
    <w:rsid w:val="00F471E9"/>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49583540">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049-41D6-B2B9-E62CD6FB03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0.45171271582981254</c:v>
                </c:pt>
                <c:pt idx="1">
                  <c:v>0.42298223620562286</c:v>
                </c:pt>
                <c:pt idx="2">
                  <c:v>0.31993528586460884</c:v>
                </c:pt>
                <c:pt idx="3">
                  <c:v>0.22224150374160734</c:v>
                </c:pt>
                <c:pt idx="4">
                  <c:v>0.26346246115839655</c:v>
                </c:pt>
              </c:numCache>
            </c:numRef>
          </c:val>
          <c:extLst>
            <c:ext xmlns:c16="http://schemas.microsoft.com/office/drawing/2014/chart" uri="{C3380CC4-5D6E-409C-BE32-E72D297353CC}">
              <c16:uniqueId val="{00000001-F049-41D6-B2B9-E62CD6FB03B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880EF-EC47-42D9-B74C-64D5C8FB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124</cp:revision>
  <cp:lastPrinted>2021-09-07T11:44:00Z</cp:lastPrinted>
  <dcterms:created xsi:type="dcterms:W3CDTF">2021-10-05T09:48:00Z</dcterms:created>
  <dcterms:modified xsi:type="dcterms:W3CDTF">2025-06-09T13:07:00Z</dcterms:modified>
</cp:coreProperties>
</file>